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48"/>
          <w:szCs w:val="36"/>
          <w:highlight w:val="none"/>
        </w:rPr>
      </w:pPr>
      <w:r>
        <w:rPr>
          <w:rFonts w:hint="eastAsia" w:ascii="宋体" w:hAnsi="宋体" w:cs="宋体"/>
          <w:b/>
          <w:color w:val="000000"/>
          <w:sz w:val="48"/>
          <w:szCs w:val="36"/>
          <w:highlight w:val="none"/>
        </w:rPr>
        <w:t xml:space="preserve"> </w:t>
      </w:r>
    </w:p>
    <w:p>
      <w:pPr>
        <w:jc w:val="center"/>
        <w:rPr>
          <w:rFonts w:ascii="宋体" w:hAnsi="宋体" w:cs="宋体"/>
          <w:b/>
          <w:color w:val="000000"/>
          <w:sz w:val="48"/>
          <w:szCs w:val="36"/>
          <w:highlight w:val="none"/>
        </w:rPr>
      </w:pPr>
      <w:r>
        <w:rPr>
          <w:rFonts w:hint="eastAsia" w:ascii="宋体" w:hAnsi="宋体" w:cs="宋体"/>
          <w:b/>
          <w:color w:val="000000"/>
          <w:sz w:val="48"/>
          <w:szCs w:val="36"/>
          <w:highlight w:val="none"/>
        </w:rPr>
        <w:t>宜昌东站物流中心驻场保洁服务项目</w:t>
      </w:r>
    </w:p>
    <w:p>
      <w:pPr>
        <w:rPr>
          <w:rFonts w:ascii="宋体" w:hAnsi="宋体" w:cs="宋体"/>
          <w:color w:val="000000"/>
          <w:sz w:val="32"/>
          <w:szCs w:val="32"/>
          <w:highlight w:val="none"/>
        </w:rPr>
      </w:pPr>
    </w:p>
    <w:p>
      <w:pPr>
        <w:rPr>
          <w:rFonts w:ascii="宋体" w:hAnsi="宋体" w:cs="宋体"/>
          <w:color w:val="000000"/>
          <w:sz w:val="32"/>
          <w:szCs w:val="32"/>
          <w:highlight w:val="none"/>
        </w:rPr>
      </w:pPr>
    </w:p>
    <w:p>
      <w:pPr>
        <w:rPr>
          <w:rFonts w:ascii="宋体" w:hAnsi="宋体" w:cs="宋体"/>
          <w:color w:val="000000"/>
          <w:sz w:val="32"/>
          <w:szCs w:val="32"/>
          <w:highlight w:val="none"/>
        </w:rPr>
      </w:pPr>
    </w:p>
    <w:p>
      <w:pPr>
        <w:rPr>
          <w:rFonts w:ascii="宋体" w:hAnsi="宋体" w:cs="宋体"/>
          <w:color w:val="000000"/>
          <w:sz w:val="32"/>
          <w:szCs w:val="32"/>
          <w:highlight w:val="none"/>
        </w:rPr>
      </w:pPr>
    </w:p>
    <w:p>
      <w:pPr>
        <w:rPr>
          <w:rFonts w:ascii="宋体" w:hAnsi="宋体" w:cs="宋体"/>
          <w:color w:val="000000"/>
          <w:highlight w:val="none"/>
        </w:rPr>
      </w:pPr>
    </w:p>
    <w:p>
      <w:pPr>
        <w:jc w:val="center"/>
        <w:rPr>
          <w:rFonts w:ascii="宋体" w:hAnsi="宋体" w:cs="宋体"/>
          <w:b/>
          <w:color w:val="000000"/>
          <w:sz w:val="96"/>
          <w:szCs w:val="84"/>
          <w:highlight w:val="none"/>
        </w:rPr>
      </w:pPr>
      <w:r>
        <w:rPr>
          <w:rFonts w:hint="eastAsia" w:ascii="宋体" w:hAnsi="宋体" w:cs="宋体"/>
          <w:b/>
          <w:color w:val="000000"/>
          <w:sz w:val="96"/>
          <w:szCs w:val="84"/>
          <w:highlight w:val="none"/>
        </w:rPr>
        <w:t>招 标 文 件</w:t>
      </w:r>
    </w:p>
    <w:p>
      <w:pPr>
        <w:jc w:val="center"/>
        <w:rPr>
          <w:rFonts w:ascii="宋体" w:hAnsi="宋体" w:cs="宋体"/>
          <w:color w:val="000000"/>
          <w:szCs w:val="21"/>
          <w:highlight w:val="none"/>
        </w:rPr>
      </w:pPr>
    </w:p>
    <w:p>
      <w:pPr>
        <w:ind w:firstLine="2560" w:firstLineChars="800"/>
        <w:rPr>
          <w:rFonts w:ascii="宋体" w:hAnsi="宋体" w:cs="宋体"/>
          <w:bCs/>
          <w:color w:val="000000"/>
          <w:sz w:val="32"/>
          <w:szCs w:val="32"/>
          <w:highlight w:val="none"/>
        </w:rPr>
      </w:pPr>
      <w:r>
        <w:rPr>
          <w:rFonts w:hint="eastAsia" w:ascii="宋体" w:hAnsi="宋体" w:cs="宋体"/>
          <w:bCs/>
          <w:color w:val="000000"/>
          <w:sz w:val="32"/>
          <w:szCs w:val="32"/>
          <w:highlight w:val="none"/>
        </w:rPr>
        <w:t>项目编号：HBXYZB（2021）</w:t>
      </w:r>
      <w:r>
        <w:rPr>
          <w:rFonts w:hint="eastAsia" w:ascii="宋体" w:hAnsi="宋体" w:cs="宋体"/>
          <w:bCs/>
          <w:color w:val="000000"/>
          <w:sz w:val="32"/>
          <w:szCs w:val="32"/>
          <w:highlight w:val="none"/>
          <w:lang w:val="en-US" w:eastAsia="zh-CN"/>
        </w:rPr>
        <w:t>143</w:t>
      </w:r>
      <w:r>
        <w:rPr>
          <w:rFonts w:hint="eastAsia" w:ascii="宋体" w:hAnsi="宋体" w:cs="宋体"/>
          <w:bCs/>
          <w:color w:val="000000"/>
          <w:sz w:val="32"/>
          <w:szCs w:val="32"/>
          <w:highlight w:val="none"/>
        </w:rPr>
        <w:t xml:space="preserve"> </w:t>
      </w: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30"/>
          <w:szCs w:val="30"/>
          <w:highlight w:val="none"/>
        </w:rPr>
      </w:pPr>
    </w:p>
    <w:p>
      <w:pPr>
        <w:autoSpaceDE w:val="0"/>
        <w:autoSpaceDN w:val="0"/>
        <w:adjustRightInd w:val="0"/>
        <w:spacing w:line="200" w:lineRule="exact"/>
        <w:jc w:val="left"/>
        <w:rPr>
          <w:rFonts w:ascii="宋体" w:hAnsi="宋体" w:cs="宋体"/>
          <w:color w:val="000000"/>
          <w:kern w:val="0"/>
          <w:sz w:val="30"/>
          <w:szCs w:val="30"/>
          <w:highlight w:val="none"/>
        </w:rPr>
      </w:pPr>
    </w:p>
    <w:p>
      <w:pPr>
        <w:pStyle w:val="2"/>
        <w:rPr>
          <w:rFonts w:cs="宋体"/>
          <w:color w:val="000000"/>
          <w:kern w:val="0"/>
          <w:sz w:val="30"/>
          <w:szCs w:val="30"/>
          <w:highlight w:val="none"/>
        </w:rPr>
      </w:pPr>
    </w:p>
    <w:p>
      <w:pPr>
        <w:spacing w:line="700" w:lineRule="exact"/>
        <w:ind w:firstLine="831" w:firstLineChars="276"/>
        <w:outlineLvl w:val="0"/>
        <w:rPr>
          <w:rFonts w:ascii="宋体" w:hAnsi="宋体" w:cs="宋体"/>
          <w:b/>
          <w:bCs/>
          <w:color w:val="000000"/>
          <w:sz w:val="30"/>
          <w:szCs w:val="30"/>
          <w:highlight w:val="none"/>
        </w:rPr>
      </w:pPr>
      <w:bookmarkStart w:id="0" w:name="_Toc16558"/>
      <w:bookmarkStart w:id="1" w:name="_Toc6396"/>
      <w:bookmarkStart w:id="2" w:name="_Toc18603030"/>
      <w:bookmarkStart w:id="3" w:name="_Toc28674"/>
      <w:bookmarkStart w:id="4" w:name="_Toc20870"/>
      <w:r>
        <w:rPr>
          <w:rFonts w:hint="eastAsia" w:ascii="宋体" w:hAnsi="宋体" w:cs="宋体"/>
          <w:b/>
          <w:bCs/>
          <w:color w:val="000000"/>
          <w:sz w:val="30"/>
          <w:szCs w:val="30"/>
          <w:highlight w:val="none"/>
        </w:rPr>
        <w:t>招    标  人：</w:t>
      </w:r>
      <w:r>
        <w:rPr>
          <w:rFonts w:hint="eastAsia" w:ascii="宋体" w:hAnsi="宋体" w:cs="宋体"/>
          <w:b/>
          <w:bCs/>
          <w:color w:val="000000"/>
          <w:sz w:val="30"/>
          <w:szCs w:val="30"/>
          <w:highlight w:val="none"/>
          <w:u w:val="single"/>
        </w:rPr>
        <w:t>湖北天元物业管理有限公司</w:t>
      </w:r>
      <w:r>
        <w:rPr>
          <w:rFonts w:hint="eastAsia" w:ascii="宋体" w:hAnsi="宋体" w:cs="宋体"/>
          <w:b/>
          <w:bCs/>
          <w:color w:val="000000"/>
          <w:sz w:val="30"/>
          <w:szCs w:val="30"/>
          <w:highlight w:val="none"/>
        </w:rPr>
        <w:t>（盖      章）</w:t>
      </w:r>
      <w:bookmarkEnd w:id="0"/>
      <w:bookmarkEnd w:id="1"/>
      <w:bookmarkEnd w:id="2"/>
      <w:bookmarkEnd w:id="3"/>
      <w:bookmarkEnd w:id="4"/>
    </w:p>
    <w:p>
      <w:pPr>
        <w:pStyle w:val="23"/>
        <w:spacing w:line="700" w:lineRule="exact"/>
        <w:ind w:firstLine="831" w:firstLineChars="276"/>
        <w:rPr>
          <w:rFonts w:hAnsi="宋体" w:cs="宋体"/>
          <w:b/>
          <w:color w:val="000000"/>
          <w:sz w:val="30"/>
          <w:szCs w:val="30"/>
          <w:highlight w:val="none"/>
        </w:rPr>
      </w:pPr>
      <w:r>
        <w:rPr>
          <w:rFonts w:hint="eastAsia" w:hAnsi="宋体" w:cs="宋体"/>
          <w:b/>
          <w:color w:val="000000"/>
          <w:sz w:val="30"/>
          <w:szCs w:val="30"/>
          <w:highlight w:val="none"/>
        </w:rPr>
        <w:t>法定代表人或其委托代理人：</w:t>
      </w:r>
      <w:r>
        <w:rPr>
          <w:rFonts w:hint="eastAsia" w:hAnsi="宋体" w:cs="宋体"/>
          <w:b/>
          <w:color w:val="000000"/>
          <w:sz w:val="30"/>
          <w:szCs w:val="30"/>
          <w:highlight w:val="none"/>
          <w:u w:val="single"/>
        </w:rPr>
        <w:t xml:space="preserve">            </w:t>
      </w:r>
      <w:r>
        <w:rPr>
          <w:rFonts w:hint="eastAsia" w:hAnsi="宋体" w:cs="宋体"/>
          <w:b/>
          <w:bCs/>
          <w:color w:val="000000"/>
          <w:sz w:val="30"/>
          <w:szCs w:val="30"/>
          <w:highlight w:val="none"/>
        </w:rPr>
        <w:t>（签字或盖章）</w:t>
      </w:r>
    </w:p>
    <w:p>
      <w:pPr>
        <w:pStyle w:val="23"/>
        <w:spacing w:line="700" w:lineRule="exact"/>
        <w:ind w:firstLine="837" w:firstLineChars="278"/>
        <w:rPr>
          <w:rFonts w:hAnsi="宋体" w:cs="宋体"/>
          <w:b/>
          <w:color w:val="000000"/>
          <w:sz w:val="30"/>
          <w:szCs w:val="30"/>
          <w:highlight w:val="none"/>
        </w:rPr>
      </w:pPr>
      <w:r>
        <w:rPr>
          <w:rFonts w:hint="eastAsia" w:hAnsi="宋体" w:cs="宋体"/>
          <w:b/>
          <w:color w:val="000000"/>
          <w:sz w:val="30"/>
          <w:szCs w:val="30"/>
          <w:highlight w:val="none"/>
        </w:rPr>
        <w:t>招标代理机构：</w:t>
      </w:r>
      <w:r>
        <w:rPr>
          <w:rFonts w:hint="eastAsia" w:hAnsi="宋体" w:cs="宋体"/>
          <w:b/>
          <w:bCs/>
          <w:color w:val="000000"/>
          <w:sz w:val="30"/>
          <w:szCs w:val="30"/>
          <w:highlight w:val="none"/>
          <w:u w:val="single"/>
        </w:rPr>
        <w:t>湖北兴焱工程咨询有限公司</w:t>
      </w:r>
      <w:r>
        <w:rPr>
          <w:rFonts w:hint="eastAsia" w:hAnsi="宋体" w:cs="宋体"/>
          <w:b/>
          <w:color w:val="000000"/>
          <w:sz w:val="30"/>
          <w:szCs w:val="30"/>
          <w:highlight w:val="none"/>
        </w:rPr>
        <w:t>（盖      章）</w:t>
      </w:r>
    </w:p>
    <w:p>
      <w:pPr>
        <w:pStyle w:val="23"/>
        <w:spacing w:line="700" w:lineRule="exact"/>
        <w:ind w:firstLine="831" w:firstLineChars="276"/>
        <w:rPr>
          <w:rFonts w:hAnsi="宋体" w:cs="宋体"/>
          <w:b/>
          <w:color w:val="000000"/>
          <w:sz w:val="30"/>
          <w:szCs w:val="30"/>
          <w:highlight w:val="none"/>
        </w:rPr>
      </w:pPr>
      <w:r>
        <w:rPr>
          <w:rFonts w:hint="eastAsia" w:hAnsi="宋体" w:cs="宋体"/>
          <w:b/>
          <w:color w:val="000000"/>
          <w:sz w:val="30"/>
          <w:szCs w:val="30"/>
          <w:highlight w:val="none"/>
        </w:rPr>
        <w:t>法定代表人或其委托代理人：</w:t>
      </w:r>
      <w:r>
        <w:rPr>
          <w:rFonts w:hint="eastAsia" w:hAnsi="宋体" w:cs="宋体"/>
          <w:b/>
          <w:color w:val="000000"/>
          <w:sz w:val="30"/>
          <w:szCs w:val="30"/>
          <w:highlight w:val="none"/>
          <w:u w:val="single"/>
        </w:rPr>
        <w:t xml:space="preserve">            </w:t>
      </w:r>
      <w:r>
        <w:rPr>
          <w:rFonts w:hint="eastAsia" w:hAnsi="宋体" w:cs="宋体"/>
          <w:b/>
          <w:color w:val="000000"/>
          <w:sz w:val="30"/>
          <w:szCs w:val="30"/>
          <w:highlight w:val="none"/>
        </w:rPr>
        <w:t>（签字或盖章）</w:t>
      </w:r>
    </w:p>
    <w:p>
      <w:pPr>
        <w:spacing w:line="700" w:lineRule="exact"/>
        <w:jc w:val="center"/>
        <w:rPr>
          <w:rFonts w:ascii="宋体" w:hAnsi="宋体" w:cs="宋体"/>
          <w:b/>
          <w:color w:val="000000"/>
          <w:sz w:val="30"/>
          <w:szCs w:val="30"/>
          <w:highlight w:val="none"/>
        </w:rPr>
      </w:pPr>
      <w:r>
        <w:rPr>
          <w:rFonts w:hint="eastAsia" w:ascii="宋体" w:hAnsi="宋体" w:cs="宋体"/>
          <w:b/>
          <w:color w:val="000000"/>
          <w:sz w:val="30"/>
          <w:szCs w:val="30"/>
          <w:highlight w:val="none"/>
        </w:rPr>
        <w:t xml:space="preserve">    二○二一年</w:t>
      </w:r>
      <w:r>
        <w:rPr>
          <w:rFonts w:hint="eastAsia" w:ascii="宋体" w:hAnsi="宋体" w:cs="宋体"/>
          <w:b/>
          <w:color w:val="000000"/>
          <w:sz w:val="30"/>
          <w:szCs w:val="30"/>
          <w:highlight w:val="none"/>
          <w:lang w:eastAsia="zh-CN"/>
        </w:rPr>
        <w:t>六</w:t>
      </w:r>
      <w:r>
        <w:rPr>
          <w:rFonts w:hint="eastAsia" w:ascii="宋体" w:hAnsi="宋体" w:cs="宋体"/>
          <w:b/>
          <w:color w:val="000000"/>
          <w:sz w:val="30"/>
          <w:szCs w:val="30"/>
          <w:highlight w:val="none"/>
        </w:rPr>
        <w:t>月</w:t>
      </w:r>
    </w:p>
    <w:p>
      <w:pPr>
        <w:spacing w:line="480" w:lineRule="auto"/>
        <w:jc w:val="center"/>
        <w:rPr>
          <w:rFonts w:ascii="宋体" w:hAnsi="宋体" w:cs="宋体"/>
          <w:color w:val="000000"/>
          <w:highlight w:val="none"/>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jc w:val="center"/>
        <w:rPr>
          <w:rFonts w:ascii="宋体" w:hAnsi="宋体"/>
          <w:b/>
          <w:color w:val="000000"/>
          <w:sz w:val="28"/>
          <w:szCs w:val="28"/>
          <w:highlight w:val="none"/>
        </w:rPr>
      </w:pPr>
      <w:bookmarkStart w:id="5" w:name="_Toc8769"/>
      <w:bookmarkStart w:id="6" w:name="_Toc11072"/>
      <w:bookmarkStart w:id="7" w:name="_Toc522293502"/>
      <w:bookmarkStart w:id="8" w:name="_Toc20741"/>
      <w:r>
        <w:rPr>
          <w:rFonts w:ascii="宋体" w:hAnsi="宋体"/>
          <w:b/>
          <w:color w:val="000000"/>
          <w:sz w:val="28"/>
          <w:szCs w:val="28"/>
          <w:highlight w:val="none"/>
        </w:rPr>
        <w:t>目录</w:t>
      </w:r>
    </w:p>
    <w:p>
      <w:pPr>
        <w:pStyle w:val="30"/>
        <w:tabs>
          <w:tab w:val="right" w:leader="dot" w:pos="8902"/>
          <w:tab w:val="clear" w:pos="8296"/>
        </w:tabs>
        <w:spacing w:line="500" w:lineRule="exact"/>
        <w:ind w:firstLine="422" w:firstLineChars="175"/>
        <w:rPr>
          <w:rFonts w:ascii="宋体" w:hAnsi="宋体"/>
          <w:color w:val="000000"/>
          <w:szCs w:val="24"/>
          <w:highlight w:val="none"/>
        </w:rPr>
      </w:pPr>
      <w:r>
        <w:rPr>
          <w:rFonts w:ascii="宋体" w:hAnsi="宋体"/>
          <w:color w:val="000000"/>
          <w:szCs w:val="24"/>
          <w:highlight w:val="none"/>
        </w:rPr>
        <w:fldChar w:fldCharType="begin"/>
      </w:r>
      <w:r>
        <w:rPr>
          <w:rFonts w:ascii="宋体" w:hAnsi="宋体"/>
          <w:color w:val="000000"/>
          <w:szCs w:val="24"/>
          <w:highlight w:val="none"/>
        </w:rPr>
        <w:instrText xml:space="preserve">TOC \o "1-2" \h \u </w:instrText>
      </w:r>
      <w:r>
        <w:rPr>
          <w:rFonts w:ascii="宋体" w:hAnsi="宋体"/>
          <w:color w:val="000000"/>
          <w:szCs w:val="24"/>
          <w:highlight w:val="none"/>
        </w:rPr>
        <w:fldChar w:fldCharType="separate"/>
      </w:r>
    </w:p>
    <w:p>
      <w:pPr>
        <w:pStyle w:val="30"/>
        <w:tabs>
          <w:tab w:val="right" w:leader="dot" w:pos="8902"/>
          <w:tab w:val="clear" w:pos="8296"/>
        </w:tabs>
        <w:spacing w:line="600" w:lineRule="exact"/>
        <w:ind w:firstLine="422" w:firstLineChars="175"/>
        <w:rPr>
          <w:rFonts w:ascii="宋体" w:hAnsi="宋体"/>
          <w:color w:val="000000"/>
          <w:szCs w:val="24"/>
          <w:highlight w:val="none"/>
        </w:rPr>
      </w:pPr>
      <w:r>
        <w:rPr>
          <w:highlight w:val="none"/>
        </w:rPr>
        <w:fldChar w:fldCharType="begin"/>
      </w:r>
      <w:r>
        <w:rPr>
          <w:highlight w:val="none"/>
        </w:rPr>
        <w:instrText xml:space="preserve"> HYPERLINK \l "_Toc20854" </w:instrText>
      </w:r>
      <w:r>
        <w:rPr>
          <w:highlight w:val="none"/>
        </w:rPr>
        <w:fldChar w:fldCharType="separate"/>
      </w:r>
      <w:r>
        <w:rPr>
          <w:rFonts w:hint="eastAsia" w:ascii="宋体" w:hAnsi="宋体" w:cs="宋体"/>
          <w:color w:val="000000"/>
          <w:szCs w:val="24"/>
          <w:highlight w:val="none"/>
        </w:rPr>
        <w:t>第一章  招标公告</w:t>
      </w:r>
      <w:r>
        <w:rPr>
          <w:rFonts w:ascii="宋体" w:hAnsi="宋体"/>
          <w:color w:val="000000"/>
          <w:szCs w:val="24"/>
          <w:highlight w:val="none"/>
        </w:rPr>
        <w:tab/>
      </w:r>
      <w:r>
        <w:rPr>
          <w:rFonts w:hint="eastAsia" w:ascii="宋体" w:hAnsi="宋体"/>
          <w:color w:val="000000"/>
          <w:szCs w:val="24"/>
          <w:highlight w:val="none"/>
        </w:rPr>
        <w:t>3</w:t>
      </w:r>
      <w:r>
        <w:rPr>
          <w:rFonts w:hint="eastAsia" w:ascii="宋体" w:hAnsi="宋体"/>
          <w:color w:val="000000"/>
          <w:szCs w:val="24"/>
          <w:highlight w:val="none"/>
        </w:rPr>
        <w:fldChar w:fldCharType="end"/>
      </w:r>
    </w:p>
    <w:p>
      <w:pPr>
        <w:pStyle w:val="35"/>
        <w:tabs>
          <w:tab w:val="right" w:leader="dot" w:pos="8902"/>
          <w:tab w:val="clear" w:pos="8296"/>
        </w:tabs>
        <w:spacing w:line="600" w:lineRule="exact"/>
        <w:ind w:left="0" w:leftChars="0" w:firstLine="420" w:firstLineChars="175"/>
        <w:rPr>
          <w:rFonts w:ascii="宋体" w:hAnsi="宋体"/>
          <w:color w:val="000000"/>
          <w:szCs w:val="24"/>
          <w:highlight w:val="none"/>
        </w:rPr>
      </w:pPr>
      <w:r>
        <w:rPr>
          <w:highlight w:val="none"/>
        </w:rPr>
        <w:fldChar w:fldCharType="begin"/>
      </w:r>
      <w:r>
        <w:rPr>
          <w:highlight w:val="none"/>
        </w:rPr>
        <w:instrText xml:space="preserve"> HYPERLINK \l "_Toc3744" </w:instrText>
      </w:r>
      <w:r>
        <w:rPr>
          <w:highlight w:val="none"/>
        </w:rPr>
        <w:fldChar w:fldCharType="separate"/>
      </w:r>
      <w:r>
        <w:rPr>
          <w:rFonts w:hint="eastAsia" w:ascii="宋体" w:hAnsi="宋体" w:cs="宋体"/>
          <w:b/>
          <w:bCs/>
          <w:color w:val="000000"/>
          <w:szCs w:val="24"/>
          <w:highlight w:val="none"/>
        </w:rPr>
        <w:t>第二章  投标人须知</w:t>
      </w:r>
      <w:r>
        <w:rPr>
          <w:rFonts w:ascii="宋体" w:hAnsi="宋体"/>
          <w:b/>
          <w:bCs/>
          <w:color w:val="000000"/>
          <w:szCs w:val="24"/>
          <w:highlight w:val="none"/>
        </w:rPr>
        <w:tab/>
      </w:r>
      <w:r>
        <w:rPr>
          <w:rFonts w:hint="eastAsia" w:ascii="宋体" w:hAnsi="宋体"/>
          <w:b/>
          <w:bCs/>
          <w:color w:val="000000"/>
          <w:szCs w:val="24"/>
          <w:highlight w:val="none"/>
        </w:rPr>
        <w:t>5</w:t>
      </w:r>
      <w:r>
        <w:rPr>
          <w:rFonts w:hint="eastAsia" w:ascii="宋体" w:hAnsi="宋体"/>
          <w:b/>
          <w:bCs/>
          <w:color w:val="000000"/>
          <w:szCs w:val="24"/>
          <w:highlight w:val="none"/>
        </w:rPr>
        <w:fldChar w:fldCharType="end"/>
      </w:r>
    </w:p>
    <w:p>
      <w:pPr>
        <w:pStyle w:val="30"/>
        <w:tabs>
          <w:tab w:val="right" w:leader="dot" w:pos="8902"/>
          <w:tab w:val="clear" w:pos="8296"/>
        </w:tabs>
        <w:spacing w:line="600" w:lineRule="exact"/>
        <w:ind w:firstLine="422" w:firstLineChars="175"/>
        <w:rPr>
          <w:rFonts w:ascii="宋体" w:hAnsi="宋体"/>
          <w:color w:val="000000"/>
          <w:szCs w:val="24"/>
          <w:highlight w:val="none"/>
        </w:rPr>
      </w:pPr>
      <w:r>
        <w:rPr>
          <w:highlight w:val="none"/>
        </w:rPr>
        <w:fldChar w:fldCharType="begin"/>
      </w:r>
      <w:r>
        <w:rPr>
          <w:highlight w:val="none"/>
        </w:rPr>
        <w:instrText xml:space="preserve"> HYPERLINK \l "_Toc29666" </w:instrText>
      </w:r>
      <w:r>
        <w:rPr>
          <w:highlight w:val="none"/>
        </w:rPr>
        <w:fldChar w:fldCharType="separate"/>
      </w:r>
      <w:r>
        <w:rPr>
          <w:rFonts w:hint="eastAsia" w:ascii="宋体" w:hAnsi="宋体" w:cs="宋体"/>
          <w:color w:val="000000"/>
          <w:szCs w:val="24"/>
          <w:highlight w:val="none"/>
        </w:rPr>
        <w:t>第三章  评标办法（综合评估法）</w:t>
      </w:r>
      <w:r>
        <w:rPr>
          <w:rFonts w:ascii="宋体" w:hAnsi="宋体"/>
          <w:color w:val="000000"/>
          <w:szCs w:val="24"/>
          <w:highlight w:val="none"/>
        </w:rPr>
        <w:tab/>
      </w:r>
      <w:r>
        <w:rPr>
          <w:rFonts w:ascii="宋体" w:hAnsi="宋体"/>
          <w:color w:val="000000"/>
          <w:szCs w:val="24"/>
          <w:highlight w:val="none"/>
        </w:rPr>
        <w:fldChar w:fldCharType="begin"/>
      </w:r>
      <w:r>
        <w:rPr>
          <w:rFonts w:ascii="宋体" w:hAnsi="宋体"/>
          <w:color w:val="000000"/>
          <w:szCs w:val="24"/>
          <w:highlight w:val="none"/>
        </w:rPr>
        <w:instrText xml:space="preserve"> PAGEREF _Toc29666 </w:instrText>
      </w:r>
      <w:r>
        <w:rPr>
          <w:rFonts w:ascii="宋体" w:hAnsi="宋体"/>
          <w:color w:val="000000"/>
          <w:szCs w:val="24"/>
          <w:highlight w:val="none"/>
        </w:rPr>
        <w:fldChar w:fldCharType="separate"/>
      </w:r>
      <w:r>
        <w:rPr>
          <w:rFonts w:ascii="宋体" w:hAnsi="宋体"/>
          <w:color w:val="000000"/>
          <w:szCs w:val="24"/>
          <w:highlight w:val="none"/>
        </w:rPr>
        <w:t>20</w:t>
      </w:r>
      <w:r>
        <w:rPr>
          <w:rFonts w:ascii="宋体" w:hAnsi="宋体"/>
          <w:color w:val="000000"/>
          <w:szCs w:val="24"/>
          <w:highlight w:val="none"/>
        </w:rPr>
        <w:fldChar w:fldCharType="end"/>
      </w:r>
      <w:r>
        <w:rPr>
          <w:rFonts w:ascii="宋体" w:hAnsi="宋体"/>
          <w:color w:val="000000"/>
          <w:szCs w:val="24"/>
          <w:highlight w:val="none"/>
        </w:rPr>
        <w:fldChar w:fldCharType="end"/>
      </w:r>
    </w:p>
    <w:p>
      <w:pPr>
        <w:pStyle w:val="30"/>
        <w:tabs>
          <w:tab w:val="right" w:leader="dot" w:pos="8902"/>
          <w:tab w:val="clear" w:pos="8296"/>
        </w:tabs>
        <w:spacing w:line="600" w:lineRule="exact"/>
        <w:ind w:firstLine="422" w:firstLineChars="175"/>
        <w:rPr>
          <w:rFonts w:ascii="宋体" w:hAnsi="宋体"/>
          <w:color w:val="000000"/>
          <w:szCs w:val="24"/>
          <w:highlight w:val="none"/>
        </w:rPr>
      </w:pPr>
      <w:r>
        <w:rPr>
          <w:highlight w:val="none"/>
        </w:rPr>
        <w:fldChar w:fldCharType="begin"/>
      </w:r>
      <w:r>
        <w:rPr>
          <w:highlight w:val="none"/>
        </w:rPr>
        <w:instrText xml:space="preserve"> HYPERLINK \l "_Toc16569" </w:instrText>
      </w:r>
      <w:r>
        <w:rPr>
          <w:highlight w:val="none"/>
        </w:rPr>
        <w:fldChar w:fldCharType="separate"/>
      </w:r>
      <w:r>
        <w:rPr>
          <w:rFonts w:hint="eastAsia" w:ascii="宋体" w:hAnsi="宋体" w:cs="宋体"/>
          <w:color w:val="000000"/>
          <w:szCs w:val="24"/>
          <w:highlight w:val="none"/>
        </w:rPr>
        <w:t>第四章  合同条款及格式</w:t>
      </w:r>
      <w:r>
        <w:rPr>
          <w:rFonts w:ascii="宋体" w:hAnsi="宋体"/>
          <w:color w:val="000000"/>
          <w:szCs w:val="24"/>
          <w:highlight w:val="none"/>
        </w:rPr>
        <w:tab/>
      </w:r>
      <w:r>
        <w:rPr>
          <w:rFonts w:hint="eastAsia" w:ascii="宋体" w:hAnsi="宋体"/>
          <w:color w:val="000000"/>
          <w:szCs w:val="24"/>
          <w:highlight w:val="none"/>
        </w:rPr>
        <w:t>28</w:t>
      </w:r>
      <w:r>
        <w:rPr>
          <w:rFonts w:hint="eastAsia" w:ascii="宋体" w:hAnsi="宋体"/>
          <w:color w:val="000000"/>
          <w:szCs w:val="24"/>
          <w:highlight w:val="none"/>
        </w:rPr>
        <w:fldChar w:fldCharType="end"/>
      </w:r>
    </w:p>
    <w:p>
      <w:pPr>
        <w:spacing w:line="600" w:lineRule="exact"/>
        <w:ind w:firstLine="422" w:firstLineChars="175"/>
        <w:rPr>
          <w:rFonts w:ascii="宋体" w:hAnsi="宋体" w:cs="宋体"/>
          <w:b/>
          <w:color w:val="000000"/>
          <w:sz w:val="24"/>
          <w:szCs w:val="24"/>
          <w:highlight w:val="none"/>
        </w:rPr>
      </w:pPr>
      <w:r>
        <w:rPr>
          <w:rFonts w:hint="eastAsia" w:ascii="宋体" w:hAnsi="宋体" w:cs="宋体"/>
          <w:b/>
          <w:color w:val="000000"/>
          <w:sz w:val="24"/>
          <w:szCs w:val="24"/>
          <w:highlight w:val="none"/>
        </w:rPr>
        <w:t>第五章  商务及技术要求...............................................43</w:t>
      </w:r>
    </w:p>
    <w:p>
      <w:pPr>
        <w:pStyle w:val="30"/>
        <w:tabs>
          <w:tab w:val="right" w:leader="dot" w:pos="8902"/>
          <w:tab w:val="clear" w:pos="8296"/>
        </w:tabs>
        <w:spacing w:line="600" w:lineRule="exact"/>
        <w:ind w:firstLine="422" w:firstLineChars="175"/>
        <w:rPr>
          <w:rFonts w:ascii="宋体" w:hAnsi="宋体"/>
          <w:color w:val="000000"/>
          <w:szCs w:val="24"/>
          <w:highlight w:val="none"/>
        </w:rPr>
      </w:pPr>
      <w:r>
        <w:rPr>
          <w:highlight w:val="none"/>
        </w:rPr>
        <w:fldChar w:fldCharType="begin"/>
      </w:r>
      <w:r>
        <w:rPr>
          <w:highlight w:val="none"/>
        </w:rPr>
        <w:instrText xml:space="preserve"> HYPERLINK \l "_Toc16027" </w:instrText>
      </w:r>
      <w:r>
        <w:rPr>
          <w:highlight w:val="none"/>
        </w:rPr>
        <w:fldChar w:fldCharType="separate"/>
      </w:r>
      <w:r>
        <w:rPr>
          <w:rFonts w:hint="eastAsia" w:ascii="宋体" w:hAnsi="宋体" w:cs="宋体"/>
          <w:color w:val="000000"/>
          <w:szCs w:val="24"/>
          <w:highlight w:val="none"/>
        </w:rPr>
        <w:t>第六章  投标文件格式</w:t>
      </w:r>
      <w:r>
        <w:rPr>
          <w:rFonts w:ascii="宋体" w:hAnsi="宋体"/>
          <w:color w:val="000000"/>
          <w:szCs w:val="24"/>
          <w:highlight w:val="none"/>
        </w:rPr>
        <w:tab/>
      </w:r>
      <w:r>
        <w:rPr>
          <w:rFonts w:hint="eastAsia" w:ascii="宋体" w:hAnsi="宋体"/>
          <w:color w:val="000000"/>
          <w:szCs w:val="24"/>
          <w:highlight w:val="none"/>
        </w:rPr>
        <w:t>47</w:t>
      </w:r>
      <w:r>
        <w:rPr>
          <w:rFonts w:hint="eastAsia" w:ascii="宋体" w:hAnsi="宋体"/>
          <w:color w:val="000000"/>
          <w:szCs w:val="24"/>
          <w:highlight w:val="none"/>
        </w:rPr>
        <w:fldChar w:fldCharType="end"/>
      </w:r>
    </w:p>
    <w:p>
      <w:pPr>
        <w:pStyle w:val="35"/>
        <w:tabs>
          <w:tab w:val="right" w:leader="dot" w:pos="8902"/>
          <w:tab w:val="clear" w:pos="8296"/>
        </w:tabs>
        <w:spacing w:line="500" w:lineRule="exact"/>
        <w:ind w:left="420"/>
        <w:rPr>
          <w:rFonts w:ascii="宋体" w:hAnsi="宋体"/>
          <w:color w:val="000000"/>
          <w:szCs w:val="24"/>
          <w:highlight w:val="none"/>
        </w:rPr>
      </w:pPr>
    </w:p>
    <w:p>
      <w:pPr>
        <w:spacing w:line="480" w:lineRule="exact"/>
        <w:ind w:firstLine="480" w:firstLineChars="200"/>
        <w:jc w:val="left"/>
        <w:rPr>
          <w:rFonts w:ascii="宋体" w:hAnsi="宋体" w:cs="宋体"/>
          <w:color w:val="000000"/>
          <w:sz w:val="24"/>
          <w:szCs w:val="24"/>
          <w:highlight w:val="none"/>
        </w:rPr>
      </w:pPr>
      <w:r>
        <w:rPr>
          <w:rFonts w:ascii="宋体" w:hAnsi="宋体"/>
          <w:color w:val="000000"/>
          <w:sz w:val="24"/>
          <w:szCs w:val="24"/>
          <w:highlight w:val="none"/>
        </w:rPr>
        <w:fldChar w:fldCharType="end"/>
      </w:r>
    </w:p>
    <w:bookmarkEnd w:id="5"/>
    <w:bookmarkEnd w:id="6"/>
    <w:p>
      <w:pPr>
        <w:spacing w:line="440" w:lineRule="exact"/>
        <w:rPr>
          <w:rFonts w:ascii="宋体" w:hAnsi="宋体" w:cs="宋体"/>
          <w:color w:val="000000"/>
          <w:highlight w:val="none"/>
        </w:rPr>
      </w:pPr>
    </w:p>
    <w:p>
      <w:pPr>
        <w:pStyle w:val="30"/>
        <w:tabs>
          <w:tab w:val="right" w:leader="dot" w:pos="8820"/>
          <w:tab w:val="clear" w:pos="8296"/>
        </w:tabs>
        <w:spacing w:line="440" w:lineRule="exact"/>
        <w:rPr>
          <w:rFonts w:ascii="宋体" w:hAnsi="宋体" w:cs="宋体"/>
          <w:color w:val="000000"/>
          <w:szCs w:val="24"/>
          <w:highlight w:val="none"/>
        </w:rPr>
      </w:pPr>
    </w:p>
    <w:p>
      <w:pPr>
        <w:rPr>
          <w:rFonts w:ascii="宋体" w:hAnsi="宋体"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color w:val="000000"/>
          <w:highlight w:val="none"/>
        </w:rPr>
      </w:pPr>
    </w:p>
    <w:p>
      <w:pPr>
        <w:pStyle w:val="2"/>
        <w:rPr>
          <w:rFonts w:cs="宋体" w:asciiTheme="majorEastAsia" w:hAnsiTheme="majorEastAsia" w:eastAsiaTheme="majorEastAsia"/>
          <w:color w:val="000000"/>
          <w:highlight w:val="none"/>
        </w:rPr>
      </w:pPr>
    </w:p>
    <w:bookmarkEnd w:id="7"/>
    <w:bookmarkEnd w:id="8"/>
    <w:p>
      <w:pPr>
        <w:spacing w:line="480" w:lineRule="exact"/>
        <w:jc w:val="center"/>
        <w:rPr>
          <w:rFonts w:cs="宋体" w:asciiTheme="majorEastAsia" w:hAnsiTheme="majorEastAsia" w:eastAsiaTheme="majorEastAsia"/>
          <w:color w:val="000000"/>
          <w:sz w:val="36"/>
          <w:szCs w:val="36"/>
          <w:highlight w:val="none"/>
        </w:rPr>
      </w:pPr>
      <w:bookmarkStart w:id="9" w:name="_Toc3307"/>
      <w:bookmarkStart w:id="10" w:name="_Toc29960"/>
      <w:bookmarkStart w:id="11" w:name="_Toc20854"/>
      <w:bookmarkStart w:id="12" w:name="_Toc522293503"/>
      <w:r>
        <w:rPr>
          <w:rStyle w:val="87"/>
          <w:rFonts w:hint="eastAsia" w:cs="宋体" w:asciiTheme="majorEastAsia" w:hAnsiTheme="majorEastAsia" w:eastAsiaTheme="majorEastAsia"/>
          <w:color w:val="000000"/>
          <w:szCs w:val="36"/>
          <w:highlight w:val="none"/>
        </w:rPr>
        <w:t>第一章  招标公告</w:t>
      </w:r>
      <w:bookmarkEnd w:id="9"/>
      <w:bookmarkEnd w:id="10"/>
      <w:bookmarkEnd w:id="11"/>
    </w:p>
    <w:p>
      <w:pPr>
        <w:spacing w:line="480" w:lineRule="exact"/>
        <w:ind w:firstLine="482" w:firstLineChars="200"/>
        <w:jc w:val="left"/>
        <w:rPr>
          <w:rFonts w:ascii="宋体" w:hAnsi="宋体" w:cs="宋体"/>
          <w:b/>
          <w:color w:val="000000"/>
          <w:sz w:val="24"/>
          <w:szCs w:val="24"/>
          <w:highlight w:val="none"/>
        </w:rPr>
      </w:pPr>
      <w:bookmarkStart w:id="13" w:name="_Toc8140"/>
      <w:r>
        <w:rPr>
          <w:rFonts w:hint="eastAsia" w:ascii="宋体" w:hAnsi="宋体" w:cs="宋体"/>
          <w:b/>
          <w:color w:val="000000"/>
          <w:sz w:val="24"/>
          <w:szCs w:val="24"/>
          <w:highlight w:val="none"/>
        </w:rPr>
        <w:t>1.招标条件</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u w:val="single"/>
        </w:rPr>
        <w:t>湖北兴焱工程咨询有限公司</w:t>
      </w:r>
      <w:r>
        <w:rPr>
          <w:rFonts w:hint="eastAsia" w:ascii="宋体" w:hAnsi="宋体" w:cs="宋体"/>
          <w:color w:val="000000"/>
          <w:sz w:val="24"/>
          <w:szCs w:val="24"/>
          <w:highlight w:val="none"/>
        </w:rPr>
        <w:t>受</w:t>
      </w:r>
      <w:r>
        <w:rPr>
          <w:rFonts w:hint="eastAsia" w:ascii="宋体" w:hAnsi="宋体" w:cs="宋体"/>
          <w:color w:val="000000"/>
          <w:sz w:val="24"/>
          <w:szCs w:val="24"/>
          <w:highlight w:val="none"/>
          <w:u w:val="single"/>
        </w:rPr>
        <w:t>湖北天元物业管理有限公司</w:t>
      </w:r>
      <w:r>
        <w:rPr>
          <w:rFonts w:hint="eastAsia" w:ascii="宋体" w:hAnsi="宋体" w:cs="宋体"/>
          <w:color w:val="000000"/>
          <w:sz w:val="24"/>
          <w:szCs w:val="24"/>
          <w:highlight w:val="none"/>
        </w:rPr>
        <w:t>委托，现就“</w:t>
      </w:r>
      <w:r>
        <w:rPr>
          <w:rFonts w:hint="eastAsia" w:ascii="宋体" w:hAnsi="宋体" w:cs="宋体"/>
          <w:color w:val="000000"/>
          <w:sz w:val="24"/>
          <w:szCs w:val="24"/>
          <w:highlight w:val="none"/>
          <w:u w:val="single"/>
        </w:rPr>
        <w:t>宜昌东站物流中心驻场保洁服务项目</w:t>
      </w:r>
      <w:r>
        <w:rPr>
          <w:rFonts w:hint="eastAsia" w:ascii="宋体" w:hAnsi="宋体" w:cs="宋体"/>
          <w:color w:val="000000"/>
          <w:sz w:val="24"/>
          <w:szCs w:val="24"/>
          <w:highlight w:val="none"/>
        </w:rPr>
        <w:t>”进行公开招标，选定服务机构。</w:t>
      </w:r>
    </w:p>
    <w:p>
      <w:pPr>
        <w:spacing w:line="480" w:lineRule="exact"/>
        <w:ind w:firstLine="482" w:firstLineChars="200"/>
        <w:jc w:val="left"/>
        <w:rPr>
          <w:rFonts w:ascii="宋体" w:hAnsi="宋体" w:cs="宋体"/>
          <w:b/>
          <w:color w:val="000000"/>
          <w:sz w:val="24"/>
          <w:szCs w:val="24"/>
          <w:highlight w:val="none"/>
        </w:rPr>
      </w:pPr>
      <w:r>
        <w:rPr>
          <w:rFonts w:hint="eastAsia" w:ascii="宋体" w:hAnsi="宋体" w:cs="宋体"/>
          <w:b/>
          <w:color w:val="000000"/>
          <w:sz w:val="24"/>
          <w:szCs w:val="24"/>
          <w:highlight w:val="none"/>
        </w:rPr>
        <w:t>2.项目概况与招标范围</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2.1项目名称：宜昌东站物流中心驻场保洁服务项目</w:t>
      </w:r>
    </w:p>
    <w:p>
      <w:pPr>
        <w:spacing w:line="460" w:lineRule="exact"/>
        <w:ind w:firstLine="480" w:firstLineChars="200"/>
        <w:jc w:val="left"/>
        <w:rPr>
          <w:rFonts w:ascii="宋体" w:hAnsi="宋体" w:cs="宋体"/>
          <w:sz w:val="24"/>
          <w:szCs w:val="24"/>
          <w:highlight w:val="none"/>
        </w:rPr>
      </w:pPr>
      <w:r>
        <w:rPr>
          <w:rFonts w:hint="eastAsia" w:ascii="宋体" w:hAnsi="宋体" w:cs="宋体"/>
          <w:color w:val="000000"/>
          <w:sz w:val="24"/>
          <w:szCs w:val="24"/>
          <w:highlight w:val="none"/>
        </w:rPr>
        <w:t>2.2服务范</w:t>
      </w:r>
      <w:r>
        <w:rPr>
          <w:rFonts w:hint="eastAsia" w:ascii="宋体" w:hAnsi="宋体" w:cs="宋体"/>
          <w:sz w:val="24"/>
          <w:szCs w:val="24"/>
          <w:highlight w:val="none"/>
        </w:rPr>
        <w:t>围：</w:t>
      </w:r>
      <w:r>
        <w:rPr>
          <w:rFonts w:hint="eastAsia" w:ascii="宋体" w:hAnsi="宋体" w:cs="宋体"/>
          <w:color w:val="000000"/>
          <w:sz w:val="24"/>
          <w:szCs w:val="24"/>
          <w:highlight w:val="none"/>
        </w:rPr>
        <w:t>宜昌东站物流中心（含天元物流招商中心、公铁联运港、天元国际汽车物流城A区、天元国际汽车城B区及其附属区域，商品车展示区，商用车卖场等所有区域）整个园区所有区域2021-2023年度驻场保洁服务。</w:t>
      </w:r>
      <w:r>
        <w:rPr>
          <w:rFonts w:hint="eastAsia" w:ascii="宋体" w:hAnsi="宋体" w:cs="宋体"/>
          <w:sz w:val="24"/>
          <w:szCs w:val="24"/>
          <w:highlight w:val="none"/>
        </w:rPr>
        <w:t>服务人员不少于18人。</w:t>
      </w:r>
    </w:p>
    <w:p>
      <w:pPr>
        <w:spacing w:line="480" w:lineRule="exact"/>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2.3资金来源：企业自筹。</w:t>
      </w:r>
    </w:p>
    <w:p>
      <w:pPr>
        <w:spacing w:line="480" w:lineRule="exact"/>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2.4服务地点：</w:t>
      </w:r>
      <w:r>
        <w:rPr>
          <w:rFonts w:hint="eastAsia" w:ascii="宋体" w:hAnsi="宋体" w:cs="宋体"/>
          <w:sz w:val="24"/>
          <w:szCs w:val="24"/>
          <w:highlight w:val="none"/>
        </w:rPr>
        <w:t>宜昌东站物流中心园区</w:t>
      </w:r>
      <w:r>
        <w:rPr>
          <w:rFonts w:hint="eastAsia" w:ascii="宋体" w:hAnsi="宋体" w:cs="宋体"/>
          <w:bCs/>
          <w:sz w:val="24"/>
          <w:szCs w:val="24"/>
          <w:highlight w:val="none"/>
        </w:rPr>
        <w:t>。</w:t>
      </w:r>
    </w:p>
    <w:p>
      <w:pPr>
        <w:spacing w:line="480" w:lineRule="exact"/>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2.5服务期限：2年</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24个月</w:t>
      </w:r>
      <w:r>
        <w:rPr>
          <w:rFonts w:hint="eastAsia" w:ascii="宋体" w:hAnsi="宋体" w:cs="宋体"/>
          <w:bCs/>
          <w:sz w:val="24"/>
          <w:szCs w:val="24"/>
          <w:highlight w:val="none"/>
          <w:lang w:eastAsia="zh-CN"/>
        </w:rPr>
        <w:t>）</w:t>
      </w:r>
      <w:r>
        <w:rPr>
          <w:rFonts w:hint="eastAsia" w:ascii="宋体" w:hAnsi="宋体" w:cs="宋体"/>
          <w:bCs/>
          <w:sz w:val="24"/>
          <w:szCs w:val="24"/>
          <w:highlight w:val="none"/>
        </w:rPr>
        <w:t>。</w:t>
      </w:r>
    </w:p>
    <w:p>
      <w:pPr>
        <w:spacing w:line="460" w:lineRule="exact"/>
        <w:ind w:firstLine="480" w:firstLineChars="200"/>
        <w:jc w:val="left"/>
        <w:rPr>
          <w:rFonts w:hint="eastAsia" w:ascii="宋体" w:hAnsi="宋体" w:eastAsia="宋体" w:cs="宋体"/>
          <w:bCs/>
          <w:color w:val="000000"/>
          <w:sz w:val="24"/>
          <w:szCs w:val="24"/>
          <w:highlight w:val="none"/>
        </w:rPr>
      </w:pPr>
      <w:r>
        <w:rPr>
          <w:rFonts w:hint="eastAsia" w:ascii="宋体" w:hAnsi="宋体" w:cs="宋体"/>
          <w:bCs/>
          <w:sz w:val="24"/>
          <w:szCs w:val="24"/>
          <w:highlight w:val="none"/>
        </w:rPr>
        <w:t>2.6项目招标控制价：</w:t>
      </w:r>
      <w:r>
        <w:rPr>
          <w:rFonts w:hint="eastAsia" w:ascii="宋体" w:hAnsi="宋体" w:cs="宋体"/>
          <w:bCs/>
          <w:sz w:val="24"/>
          <w:szCs w:val="24"/>
          <w:highlight w:val="none"/>
          <w:lang w:eastAsia="zh-CN"/>
        </w:rPr>
        <w:t>人民币</w:t>
      </w:r>
      <w:bookmarkStart w:id="440" w:name="_GoBack"/>
      <w:bookmarkEnd w:id="440"/>
      <w:r>
        <w:rPr>
          <w:rFonts w:hint="eastAsia" w:ascii="宋体" w:hAnsi="宋体" w:cs="宋体"/>
          <w:bCs/>
          <w:sz w:val="24"/>
          <w:szCs w:val="24"/>
          <w:highlight w:val="none"/>
          <w:lang w:eastAsia="zh-CN"/>
        </w:rPr>
        <w:t>壹佰壹拾贰万柒仟贰佰</w:t>
      </w:r>
      <w:r>
        <w:rPr>
          <w:rFonts w:hint="eastAsia" w:ascii="宋体" w:hAnsi="宋体" w:eastAsia="宋体" w:cs="宋体"/>
          <w:bCs/>
          <w:color w:val="000000"/>
          <w:sz w:val="24"/>
          <w:szCs w:val="24"/>
          <w:highlight w:val="none"/>
        </w:rPr>
        <w:t>元整（￥</w:t>
      </w:r>
      <w:r>
        <w:rPr>
          <w:rFonts w:hint="eastAsia" w:ascii="宋体" w:hAnsi="宋体" w:cs="宋体"/>
          <w:bCs/>
          <w:color w:val="000000"/>
          <w:sz w:val="24"/>
          <w:szCs w:val="24"/>
          <w:highlight w:val="none"/>
          <w:lang w:val="en-US" w:eastAsia="zh-CN"/>
        </w:rPr>
        <w:t>112.72</w:t>
      </w:r>
      <w:r>
        <w:rPr>
          <w:rFonts w:hint="eastAsia" w:ascii="宋体" w:hAnsi="宋体" w:eastAsia="宋体" w:cs="宋体"/>
          <w:bCs/>
          <w:color w:val="000000"/>
          <w:sz w:val="24"/>
          <w:szCs w:val="24"/>
          <w:highlight w:val="none"/>
        </w:rPr>
        <w:t>元</w:t>
      </w:r>
      <w:r>
        <w:rPr>
          <w:rFonts w:hint="eastAsia" w:ascii="宋体" w:hAnsi="宋体" w:eastAsia="宋体" w:cs="宋体"/>
          <w:bCs/>
          <w:color w:val="000000"/>
          <w:sz w:val="24"/>
          <w:szCs w:val="24"/>
          <w:highlight w:val="none"/>
          <w:lang w:eastAsia="zh-CN"/>
        </w:rPr>
        <w:t>（含税）</w:t>
      </w:r>
      <w:r>
        <w:rPr>
          <w:rFonts w:hint="eastAsia" w:ascii="宋体" w:hAnsi="宋体" w:eastAsia="宋体" w:cs="宋体"/>
          <w:bCs/>
          <w:color w:val="000000"/>
          <w:sz w:val="24"/>
          <w:szCs w:val="24"/>
          <w:highlight w:val="none"/>
        </w:rPr>
        <w:t>）。</w:t>
      </w:r>
    </w:p>
    <w:p>
      <w:pPr>
        <w:spacing w:line="480" w:lineRule="exact"/>
        <w:ind w:firstLine="482" w:firstLineChars="200"/>
        <w:jc w:val="left"/>
        <w:rPr>
          <w:rFonts w:ascii="宋体" w:hAnsi="宋体" w:cs="宋体"/>
          <w:b/>
          <w:sz w:val="24"/>
          <w:szCs w:val="24"/>
          <w:highlight w:val="none"/>
        </w:rPr>
      </w:pPr>
      <w:r>
        <w:rPr>
          <w:rFonts w:hint="eastAsia" w:ascii="宋体" w:hAnsi="宋体" w:cs="宋体"/>
          <w:b/>
          <w:sz w:val="24"/>
          <w:szCs w:val="24"/>
          <w:highlight w:val="none"/>
        </w:rPr>
        <w:t>3.投标人资格要求</w:t>
      </w:r>
    </w:p>
    <w:p>
      <w:pPr>
        <w:spacing w:line="480" w:lineRule="exact"/>
        <w:ind w:firstLine="482" w:firstLineChars="200"/>
        <w:jc w:val="left"/>
        <w:rPr>
          <w:rFonts w:ascii="宋体" w:hAnsi="宋体" w:cs="宋体"/>
          <w:b/>
          <w:color w:val="000000"/>
          <w:sz w:val="24"/>
          <w:szCs w:val="24"/>
          <w:highlight w:val="none"/>
        </w:rPr>
      </w:pPr>
      <w:r>
        <w:rPr>
          <w:rFonts w:hint="eastAsia" w:ascii="宋体" w:hAnsi="宋体" w:cs="宋体"/>
          <w:b/>
          <w:color w:val="000000"/>
          <w:sz w:val="24"/>
          <w:szCs w:val="24"/>
          <w:highlight w:val="none"/>
        </w:rPr>
        <w:t>本项目对投标人的资格审查采用资格后审方式，资格审查标准如下（详细内容和要求见招标文件）：</w:t>
      </w:r>
    </w:p>
    <w:p>
      <w:pPr>
        <w:spacing w:line="480" w:lineRule="exact"/>
        <w:ind w:firstLine="480" w:firstLineChars="200"/>
        <w:jc w:val="left"/>
        <w:rPr>
          <w:rFonts w:ascii="宋体" w:hAnsi="宋体" w:cs="宋体"/>
          <w:bCs/>
          <w:color w:val="000000"/>
          <w:sz w:val="24"/>
          <w:szCs w:val="24"/>
          <w:highlight w:val="none"/>
        </w:rPr>
      </w:pPr>
      <w:r>
        <w:rPr>
          <w:rFonts w:hint="eastAsia" w:ascii="宋体" w:hAnsi="宋体" w:cs="宋体"/>
          <w:bCs/>
          <w:color w:val="000000"/>
          <w:sz w:val="24"/>
          <w:szCs w:val="24"/>
          <w:highlight w:val="none"/>
        </w:rPr>
        <w:t>3.1具备工商行政主管部门核发的有效法人营业执照，投标人不得以分公司名义进行投标，投标文件的单位盖章必须使用其法人公章，分公司盖章无效；（提供营业执照复印件加盖单位公章）</w:t>
      </w:r>
    </w:p>
    <w:p>
      <w:pPr>
        <w:spacing w:line="480" w:lineRule="exact"/>
        <w:ind w:firstLine="480" w:firstLineChars="200"/>
        <w:jc w:val="left"/>
        <w:rPr>
          <w:rFonts w:ascii="宋体" w:hAnsi="宋体" w:cs="宋体"/>
          <w:bCs/>
          <w:sz w:val="24"/>
          <w:szCs w:val="24"/>
          <w:highlight w:val="none"/>
        </w:rPr>
      </w:pPr>
      <w:r>
        <w:rPr>
          <w:rFonts w:hint="eastAsia" w:ascii="宋体" w:hAnsi="宋体" w:cs="宋体"/>
          <w:bCs/>
          <w:color w:val="000000"/>
          <w:sz w:val="24"/>
          <w:szCs w:val="24"/>
          <w:highlight w:val="none"/>
        </w:rPr>
        <w:t>3.2</w:t>
      </w:r>
      <w:r>
        <w:rPr>
          <w:rFonts w:hint="eastAsia" w:ascii="宋体" w:hAnsi="宋体" w:cs="宋体"/>
          <w:bCs/>
          <w:sz w:val="24"/>
          <w:szCs w:val="24"/>
          <w:highlight w:val="none"/>
        </w:rPr>
        <w:t>投标人近三年承担过或正在履行企业园区或</w:t>
      </w:r>
      <w:r>
        <w:rPr>
          <w:rFonts w:hint="eastAsia" w:ascii="宋体" w:hAnsi="宋体" w:cs="宋体"/>
          <w:sz w:val="24"/>
          <w:szCs w:val="24"/>
          <w:highlight w:val="none"/>
        </w:rPr>
        <w:t>商业综合体或专业化市场或写字楼或酒店或住宅等</w:t>
      </w:r>
      <w:r>
        <w:rPr>
          <w:rFonts w:hint="eastAsia" w:ascii="宋体" w:hAnsi="宋体" w:cs="宋体"/>
          <w:bCs/>
          <w:sz w:val="24"/>
          <w:szCs w:val="24"/>
          <w:highlight w:val="none"/>
        </w:rPr>
        <w:t>场所的保洁服务项目；（提供合同复印件加盖单位公章）</w:t>
      </w:r>
    </w:p>
    <w:p>
      <w:pPr>
        <w:spacing w:line="480" w:lineRule="exact"/>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3.3在“信用中国”网站，未被列入失信被执行人；（提供查询截图复印件加盖单位公章）</w:t>
      </w:r>
    </w:p>
    <w:p>
      <w:pPr>
        <w:spacing w:line="480" w:lineRule="exact"/>
        <w:ind w:firstLine="480" w:firstLineChars="200"/>
        <w:jc w:val="left"/>
        <w:rPr>
          <w:rFonts w:ascii="宋体" w:hAnsi="宋体" w:cs="宋体"/>
          <w:bCs/>
          <w:color w:val="000000"/>
          <w:sz w:val="24"/>
          <w:szCs w:val="24"/>
          <w:highlight w:val="none"/>
        </w:rPr>
      </w:pPr>
      <w:r>
        <w:rPr>
          <w:rFonts w:hint="eastAsia" w:ascii="宋体" w:hAnsi="宋体" w:cs="宋体"/>
          <w:bCs/>
          <w:color w:val="000000"/>
          <w:sz w:val="24"/>
          <w:szCs w:val="24"/>
          <w:highlight w:val="none"/>
        </w:rPr>
        <w:t>3.4单位负责人为同一人或者存在控股、管理关系的不同单位，不得参加同一项目投标；与招标人存在利害关系可能影响招标公正性的法人、其他组织或者个人，不得参加投标；</w:t>
      </w:r>
    </w:p>
    <w:p>
      <w:pPr>
        <w:spacing w:line="480" w:lineRule="exact"/>
        <w:ind w:firstLine="480" w:firstLineChars="200"/>
        <w:jc w:val="left"/>
        <w:rPr>
          <w:rFonts w:ascii="宋体" w:hAnsi="宋体" w:cs="宋体"/>
          <w:bCs/>
          <w:color w:val="000000"/>
          <w:sz w:val="24"/>
          <w:szCs w:val="24"/>
          <w:highlight w:val="none"/>
        </w:rPr>
      </w:pPr>
      <w:r>
        <w:rPr>
          <w:rFonts w:hint="eastAsia" w:ascii="宋体" w:hAnsi="宋体" w:cs="宋体"/>
          <w:bCs/>
          <w:color w:val="000000"/>
          <w:sz w:val="24"/>
          <w:szCs w:val="24"/>
          <w:highlight w:val="none"/>
        </w:rPr>
        <w:t>3.5本项目不接受联合体投标，投标人必须以独立投标人身份参与投标。</w:t>
      </w:r>
    </w:p>
    <w:p>
      <w:pPr>
        <w:pStyle w:val="232"/>
        <w:shd w:val="clear" w:color="auto" w:fill="FFFFFF"/>
        <w:spacing w:line="480" w:lineRule="exact"/>
        <w:ind w:firstLine="482" w:firstLineChars="200"/>
        <w:rPr>
          <w:b/>
          <w:bCs/>
          <w:highlight w:val="none"/>
          <w:lang w:val="zh-CN"/>
        </w:rPr>
      </w:pPr>
      <w:r>
        <w:rPr>
          <w:rFonts w:hint="eastAsia"/>
          <w:b/>
          <w:bCs/>
          <w:highlight w:val="none"/>
          <w:lang w:val="zh-CN"/>
        </w:rPr>
        <w:t>投标人在制作投标文件时，应对照上述资格审查要求，提供证明材料原件的复印件并加盖投标单位公章，否则评委将不予采信。</w:t>
      </w:r>
    </w:p>
    <w:p>
      <w:pPr>
        <w:spacing w:line="480" w:lineRule="exact"/>
        <w:ind w:firstLine="482" w:firstLineChars="200"/>
        <w:jc w:val="left"/>
        <w:rPr>
          <w:rFonts w:ascii="宋体" w:hAnsi="宋体" w:cs="宋体"/>
          <w:b/>
          <w:color w:val="000000"/>
          <w:sz w:val="24"/>
          <w:szCs w:val="24"/>
          <w:highlight w:val="none"/>
        </w:rPr>
      </w:pPr>
      <w:r>
        <w:rPr>
          <w:rFonts w:hint="eastAsia" w:ascii="宋体" w:hAnsi="宋体" w:cs="宋体"/>
          <w:b/>
          <w:color w:val="000000"/>
          <w:sz w:val="24"/>
          <w:szCs w:val="24"/>
          <w:highlight w:val="none"/>
        </w:rPr>
        <w:t>4.招标文件的获取</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4.1凡有意参加投标者，请于2021年</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rPr>
        <w:t>日至</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13</w:t>
      </w:r>
      <w:r>
        <w:rPr>
          <w:rFonts w:hint="eastAsia" w:ascii="宋体" w:hAnsi="宋体" w:cs="宋体"/>
          <w:color w:val="000000"/>
          <w:sz w:val="24"/>
          <w:szCs w:val="24"/>
          <w:highlight w:val="none"/>
        </w:rPr>
        <w:t>日17时在湖北宜昌交运集团股份有限公司官网下载。</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4.2提问截止时间：2021年</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27</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17</w:t>
      </w:r>
      <w:r>
        <w:rPr>
          <w:rFonts w:hint="eastAsia" w:ascii="宋体" w:hAnsi="宋体" w:cs="宋体"/>
          <w:color w:val="000000"/>
          <w:sz w:val="24"/>
          <w:szCs w:val="24"/>
          <w:highlight w:val="none"/>
        </w:rPr>
        <w:t>时，有任何疑问请在规定时间内发送至邮箱。（QQ邮箱</w:t>
      </w:r>
      <w:r>
        <w:rPr>
          <w:rFonts w:ascii="宋体" w:hAnsi="宋体" w:cs="宋体"/>
          <w:color w:val="000000"/>
          <w:sz w:val="24"/>
          <w:szCs w:val="24"/>
          <w:highlight w:val="none"/>
        </w:rPr>
        <w:t>471032422@qq.com</w:t>
      </w:r>
      <w:r>
        <w:rPr>
          <w:rFonts w:hint="eastAsia" w:ascii="宋体" w:hAnsi="宋体" w:cs="宋体"/>
          <w:color w:val="000000"/>
          <w:sz w:val="24"/>
          <w:szCs w:val="24"/>
          <w:highlight w:val="none"/>
        </w:rPr>
        <w:t>）</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4.3答疑文件发放时间：2021年</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28</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17</w:t>
      </w:r>
      <w:r>
        <w:rPr>
          <w:rFonts w:hint="eastAsia" w:ascii="宋体" w:hAnsi="宋体" w:cs="宋体"/>
          <w:color w:val="000000"/>
          <w:sz w:val="24"/>
          <w:szCs w:val="24"/>
          <w:highlight w:val="none"/>
        </w:rPr>
        <w:t>时（如遇特殊情况答疑时间顺延），在湖北宜昌交运集团股份有限公司官网下载。</w:t>
      </w:r>
    </w:p>
    <w:p>
      <w:pPr>
        <w:spacing w:line="480" w:lineRule="exact"/>
        <w:ind w:firstLine="482" w:firstLineChars="200"/>
        <w:jc w:val="left"/>
        <w:rPr>
          <w:rFonts w:ascii="宋体" w:hAnsi="宋体" w:cs="宋体"/>
          <w:b/>
          <w:color w:val="000000"/>
          <w:sz w:val="24"/>
          <w:szCs w:val="24"/>
          <w:highlight w:val="none"/>
        </w:rPr>
      </w:pPr>
      <w:r>
        <w:rPr>
          <w:rFonts w:hint="eastAsia" w:ascii="宋体" w:hAnsi="宋体" w:cs="宋体"/>
          <w:b/>
          <w:color w:val="000000"/>
          <w:sz w:val="24"/>
          <w:szCs w:val="24"/>
          <w:highlight w:val="none"/>
        </w:rPr>
        <w:t>5.投标文件的递交</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5.1投标文件递交截止时间和开标时间：20</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1年</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14</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14</w:t>
      </w:r>
      <w:r>
        <w:rPr>
          <w:rFonts w:hint="eastAsia" w:ascii="宋体" w:hAnsi="宋体" w:cs="宋体"/>
          <w:color w:val="000000"/>
          <w:sz w:val="24"/>
          <w:szCs w:val="24"/>
          <w:highlight w:val="none"/>
        </w:rPr>
        <w:t>时</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分，地点：湖北兴焱工程咨询有限公司会议室(宜昌市中南路35号兴发广场A座写字楼5楼)。</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5.2逾期送达的或者未送达指定地点的投标文件，招标人不予受理。</w:t>
      </w:r>
    </w:p>
    <w:p>
      <w:pPr>
        <w:pStyle w:val="2"/>
        <w:spacing w:after="0" w:line="480" w:lineRule="exact"/>
        <w:ind w:firstLine="480" w:firstLineChars="200"/>
        <w:jc w:val="left"/>
        <w:rPr>
          <w:rFonts w:cs="宋体"/>
          <w:bCs/>
          <w:color w:val="000000"/>
          <w:sz w:val="24"/>
          <w:highlight w:val="none"/>
        </w:rPr>
      </w:pPr>
      <w:r>
        <w:rPr>
          <w:rFonts w:hint="eastAsia" w:cs="宋体"/>
          <w:color w:val="000000"/>
          <w:sz w:val="24"/>
          <w:highlight w:val="none"/>
        </w:rPr>
        <w:t>5.3</w:t>
      </w:r>
      <w:r>
        <w:rPr>
          <w:rFonts w:hint="eastAsia" w:cs="宋体"/>
          <w:bCs/>
          <w:color w:val="000000"/>
          <w:sz w:val="24"/>
          <w:highlight w:val="none"/>
        </w:rPr>
        <w:t>投标人的法定代表人或委托代理人应</w:t>
      </w:r>
      <w:r>
        <w:rPr>
          <w:rFonts w:hint="eastAsia" w:cs="宋体"/>
          <w:b/>
          <w:color w:val="000000"/>
          <w:sz w:val="24"/>
          <w:highlight w:val="none"/>
        </w:rPr>
        <w:t>单独携带</w:t>
      </w:r>
      <w:r>
        <w:rPr>
          <w:rFonts w:hint="eastAsia" w:cs="宋体"/>
          <w:bCs/>
          <w:color w:val="000000"/>
          <w:sz w:val="24"/>
          <w:highlight w:val="none"/>
        </w:rPr>
        <w:t>身份证明文件原件（</w:t>
      </w:r>
      <w:r>
        <w:rPr>
          <w:rFonts w:hint="eastAsia" w:cs="宋体"/>
          <w:b/>
          <w:bCs/>
          <w:color w:val="000000"/>
          <w:sz w:val="24"/>
          <w:highlight w:val="none"/>
        </w:rPr>
        <w:t>法定代表人身份证明或法人授权委托书</w:t>
      </w:r>
      <w:r>
        <w:rPr>
          <w:rFonts w:hint="eastAsia" w:cs="宋体"/>
          <w:bCs/>
          <w:color w:val="000000"/>
          <w:sz w:val="24"/>
          <w:highlight w:val="none"/>
        </w:rPr>
        <w:t>）和</w:t>
      </w:r>
      <w:r>
        <w:rPr>
          <w:rFonts w:hint="eastAsia" w:cs="宋体"/>
          <w:b/>
          <w:bCs/>
          <w:color w:val="000000"/>
          <w:sz w:val="24"/>
          <w:highlight w:val="none"/>
        </w:rPr>
        <w:t>第二代有效身份证原件</w:t>
      </w:r>
      <w:r>
        <w:rPr>
          <w:rFonts w:hint="eastAsia" w:cs="宋体"/>
          <w:bCs/>
          <w:color w:val="000000"/>
          <w:sz w:val="24"/>
          <w:highlight w:val="none"/>
        </w:rPr>
        <w:t>准时参加开标会。</w:t>
      </w:r>
    </w:p>
    <w:p>
      <w:pPr>
        <w:spacing w:line="480" w:lineRule="exact"/>
        <w:ind w:firstLine="482" w:firstLineChars="200"/>
        <w:jc w:val="left"/>
        <w:rPr>
          <w:rFonts w:ascii="宋体" w:hAnsi="宋体" w:cs="宋体"/>
          <w:b/>
          <w:color w:val="000000"/>
          <w:sz w:val="24"/>
          <w:szCs w:val="24"/>
          <w:highlight w:val="none"/>
        </w:rPr>
      </w:pPr>
      <w:r>
        <w:rPr>
          <w:rFonts w:hint="eastAsia" w:ascii="宋体" w:hAnsi="宋体" w:cs="宋体"/>
          <w:b/>
          <w:color w:val="000000"/>
          <w:sz w:val="24"/>
          <w:szCs w:val="24"/>
          <w:highlight w:val="none"/>
        </w:rPr>
        <w:t>6.</w:t>
      </w:r>
      <w:r>
        <w:rPr>
          <w:rFonts w:hint="eastAsia" w:ascii="宋体" w:hAnsi="宋体" w:cs="宋体"/>
          <w:color w:val="000000"/>
          <w:sz w:val="24"/>
          <w:szCs w:val="24"/>
          <w:highlight w:val="none"/>
        </w:rPr>
        <w:t>服务合同须由中标单位的法定代表人或其授权委托代理人（必须有法定代表人授权委托书）洽谈并签署，否则视为放弃中标项目。</w:t>
      </w:r>
    </w:p>
    <w:p>
      <w:pPr>
        <w:pStyle w:val="64"/>
        <w:spacing w:line="480" w:lineRule="exact"/>
        <w:ind w:firstLine="482" w:firstLineChars="200"/>
        <w:jc w:val="left"/>
        <w:rPr>
          <w:rFonts w:ascii="宋体" w:hAnsi="宋体" w:cs="宋体"/>
          <w:b/>
          <w:bCs/>
          <w:color w:val="000000"/>
          <w:sz w:val="24"/>
          <w:highlight w:val="none"/>
        </w:rPr>
      </w:pPr>
      <w:r>
        <w:rPr>
          <w:rFonts w:hint="eastAsia" w:ascii="宋体" w:hAnsi="宋体" w:cs="宋体"/>
          <w:b/>
          <w:color w:val="000000"/>
          <w:sz w:val="24"/>
          <w:highlight w:val="none"/>
        </w:rPr>
        <w:t>7.</w:t>
      </w:r>
      <w:r>
        <w:rPr>
          <w:rFonts w:hint="eastAsia" w:ascii="宋体" w:hAnsi="宋体" w:cs="宋体"/>
          <w:b/>
          <w:bCs/>
          <w:color w:val="000000"/>
          <w:sz w:val="24"/>
          <w:highlight w:val="none"/>
        </w:rPr>
        <w:t>发布公告的时间与媒介</w:t>
      </w:r>
    </w:p>
    <w:p>
      <w:pPr>
        <w:pStyle w:val="64"/>
        <w:spacing w:line="48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信息发布时间：2021年</w:t>
      </w:r>
      <w:r>
        <w:rPr>
          <w:rFonts w:hint="eastAsia" w:ascii="宋体" w:hAnsi="宋体" w:cs="宋体"/>
          <w:bCs/>
          <w:color w:val="000000"/>
          <w:sz w:val="24"/>
          <w:highlight w:val="none"/>
          <w:lang w:val="en-US" w:eastAsia="zh-CN"/>
        </w:rPr>
        <w:t>6</w:t>
      </w:r>
      <w:r>
        <w:rPr>
          <w:rFonts w:hint="eastAsia" w:ascii="宋体" w:hAnsi="宋体" w:cs="宋体"/>
          <w:bCs/>
          <w:color w:val="000000"/>
          <w:sz w:val="24"/>
          <w:highlight w:val="none"/>
        </w:rPr>
        <w:t>月</w:t>
      </w:r>
      <w:r>
        <w:rPr>
          <w:rFonts w:hint="eastAsia" w:ascii="宋体" w:hAnsi="宋体" w:cs="宋体"/>
          <w:bCs/>
          <w:color w:val="000000"/>
          <w:sz w:val="24"/>
          <w:highlight w:val="none"/>
          <w:lang w:val="en-US" w:eastAsia="zh-CN"/>
        </w:rPr>
        <w:t>22</w:t>
      </w:r>
      <w:r>
        <w:rPr>
          <w:rFonts w:hint="eastAsia" w:ascii="宋体" w:hAnsi="宋体" w:cs="宋体"/>
          <w:bCs/>
          <w:color w:val="000000"/>
          <w:sz w:val="24"/>
          <w:highlight w:val="none"/>
        </w:rPr>
        <w:t xml:space="preserve">日。 </w:t>
      </w:r>
    </w:p>
    <w:p>
      <w:pPr>
        <w:spacing w:line="480" w:lineRule="exact"/>
        <w:ind w:firstLine="480" w:firstLineChars="200"/>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信息发布媒体：宜昌交通旅游产业发展集团有限公司官网、湖北宜昌交运集团股份有限公司官网、中国采购与招标网。</w:t>
      </w:r>
    </w:p>
    <w:p>
      <w:pPr>
        <w:spacing w:line="480" w:lineRule="exact"/>
        <w:ind w:firstLine="482" w:firstLineChars="200"/>
        <w:jc w:val="left"/>
        <w:rPr>
          <w:rFonts w:ascii="宋体" w:hAnsi="宋体" w:cs="宋体"/>
          <w:b/>
          <w:color w:val="000000"/>
          <w:sz w:val="24"/>
          <w:szCs w:val="24"/>
          <w:highlight w:val="none"/>
        </w:rPr>
      </w:pPr>
      <w:r>
        <w:rPr>
          <w:rFonts w:hint="eastAsia" w:ascii="宋体" w:hAnsi="宋体" w:cs="宋体"/>
          <w:b/>
          <w:color w:val="000000"/>
          <w:sz w:val="24"/>
          <w:szCs w:val="24"/>
          <w:highlight w:val="none"/>
        </w:rPr>
        <w:t>9.联系方式</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招标人：湖北天元物业管理有限公司</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地址：湖北省宜昌市东艳路48号天元国际汽车物流城物业服务大厅</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联系人：陈建华</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联系电话：</w:t>
      </w:r>
      <w:r>
        <w:rPr>
          <w:rFonts w:ascii="宋体" w:hAnsi="宋体" w:cs="宋体"/>
          <w:color w:val="000000"/>
          <w:sz w:val="24"/>
          <w:szCs w:val="24"/>
          <w:highlight w:val="none"/>
        </w:rPr>
        <w:t>0717-6262498</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招标代理机构：湖北兴焱工程咨询有限公司 </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地址：宜昌市中南路35号兴发广场A座写字楼5楼</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联系人：徐晓玲</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联系电话：0717-6485566-8034</w:t>
      </w:r>
    </w:p>
    <w:p>
      <w:pPr>
        <w:spacing w:line="48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日期：2021年</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rPr>
        <w:t xml:space="preserve">日  </w:t>
      </w:r>
    </w:p>
    <w:p>
      <w:pPr>
        <w:pStyle w:val="2"/>
        <w:rPr>
          <w:highlight w:val="none"/>
        </w:rPr>
      </w:pPr>
    </w:p>
    <w:p>
      <w:pPr>
        <w:pStyle w:val="2"/>
        <w:rPr>
          <w:highlight w:val="none"/>
        </w:rPr>
      </w:pPr>
    </w:p>
    <w:p>
      <w:pPr>
        <w:pStyle w:val="4"/>
        <w:rPr>
          <w:rFonts w:cs="宋体"/>
          <w:color w:val="000000"/>
          <w:sz w:val="36"/>
          <w:szCs w:val="36"/>
          <w:highlight w:val="none"/>
        </w:rPr>
      </w:pPr>
      <w:bookmarkStart w:id="14" w:name="_Toc16473"/>
      <w:bookmarkStart w:id="15" w:name="_Toc16309"/>
      <w:bookmarkStart w:id="16" w:name="_Toc3744"/>
      <w:bookmarkStart w:id="17" w:name="_Toc4861"/>
      <w:r>
        <w:rPr>
          <w:rFonts w:hint="eastAsia" w:cs="宋体"/>
          <w:color w:val="000000"/>
          <w:sz w:val="36"/>
          <w:szCs w:val="36"/>
          <w:highlight w:val="none"/>
        </w:rPr>
        <w:t>第二章  投标人须知</w:t>
      </w:r>
      <w:bookmarkEnd w:id="12"/>
      <w:bookmarkEnd w:id="13"/>
      <w:bookmarkEnd w:id="14"/>
      <w:bookmarkEnd w:id="15"/>
      <w:bookmarkEnd w:id="16"/>
      <w:bookmarkEnd w:id="17"/>
    </w:p>
    <w:p>
      <w:pPr>
        <w:pStyle w:val="4"/>
        <w:rPr>
          <w:rFonts w:cs="宋体"/>
          <w:color w:val="000000"/>
          <w:highlight w:val="none"/>
        </w:rPr>
      </w:pPr>
      <w:bookmarkStart w:id="18" w:name="_Toc15101"/>
      <w:bookmarkStart w:id="19" w:name="_Toc522293504"/>
      <w:bookmarkStart w:id="20" w:name="_Toc301"/>
      <w:bookmarkStart w:id="21" w:name="_Toc31842"/>
      <w:bookmarkStart w:id="22" w:name="_Toc19055"/>
      <w:r>
        <w:rPr>
          <w:rFonts w:hint="eastAsia" w:cs="宋体"/>
          <w:color w:val="000000"/>
          <w:highlight w:val="none"/>
        </w:rPr>
        <w:t>投标人须知前附表</w:t>
      </w:r>
      <w:bookmarkEnd w:id="18"/>
      <w:bookmarkEnd w:id="19"/>
      <w:bookmarkEnd w:id="20"/>
      <w:bookmarkEnd w:id="21"/>
      <w:bookmarkEnd w:id="22"/>
    </w:p>
    <w:tbl>
      <w:tblPr>
        <w:tblStyle w:val="42"/>
        <w:tblW w:w="953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80"/>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sz w:val="24"/>
                <w:szCs w:val="24"/>
                <w:highlight w:val="none"/>
              </w:rPr>
            </w:pPr>
            <w:r>
              <w:rPr>
                <w:rFonts w:hint="eastAsia" w:ascii="宋体" w:hAnsi="宋体" w:cs="宋体"/>
                <w:b/>
                <w:color w:val="000000"/>
                <w:sz w:val="24"/>
                <w:szCs w:val="24"/>
                <w:highlight w:val="none"/>
              </w:rPr>
              <w:t>条  款  名  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sz w:val="24"/>
                <w:szCs w:val="24"/>
                <w:highlight w:val="none"/>
              </w:rPr>
            </w:pPr>
            <w:r>
              <w:rPr>
                <w:rFonts w:hint="eastAsia" w:ascii="宋体" w:hAnsi="宋体" w:cs="宋体"/>
                <w:b/>
                <w:color w:val="000000"/>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招标人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招标人：湖北天元物业管理有限公司</w:t>
            </w:r>
          </w:p>
          <w:p>
            <w:pPr>
              <w:spacing w:line="40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地址：湖北省宜昌市东艳路48号天元国际汽车物流城物业服务大厅</w:t>
            </w:r>
          </w:p>
          <w:p>
            <w:pPr>
              <w:spacing w:line="40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联系人：陈建华</w:t>
            </w:r>
          </w:p>
          <w:p>
            <w:pPr>
              <w:spacing w:line="40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联系电话：</w:t>
            </w:r>
            <w:r>
              <w:rPr>
                <w:rFonts w:ascii="宋体" w:hAnsi="宋体" w:cs="宋体"/>
                <w:color w:val="000000"/>
                <w:sz w:val="24"/>
                <w:szCs w:val="24"/>
                <w:highlight w:val="none"/>
              </w:rPr>
              <w:t>0717-6262498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1.1.3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招标代理机构</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招标代理机构：湖北兴焱工程咨询有限公司 </w:t>
            </w:r>
          </w:p>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地址：宜昌市中南路35号兴发广场A座写字楼5楼</w:t>
            </w:r>
          </w:p>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联系人：徐晓玲</w:t>
            </w:r>
          </w:p>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联系电话：0717-6485566-8034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1.1.4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highlight w:val="none"/>
              </w:rPr>
              <w:t>宜昌东站物流中心驻场保洁服务项目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1.1.5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服务地点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sz w:val="24"/>
                <w:szCs w:val="24"/>
                <w:highlight w:val="none"/>
              </w:rPr>
            </w:pPr>
            <w:bookmarkStart w:id="23" w:name="EBde274196658e45c5b1cb9db216802bf9"/>
            <w:bookmarkEnd w:id="23"/>
            <w:r>
              <w:rPr>
                <w:rFonts w:hint="eastAsia" w:ascii="宋体" w:cs="宋体"/>
                <w:sz w:val="24"/>
                <w:szCs w:val="24"/>
                <w:highlight w:val="none"/>
                <w:lang w:val="zh-CN"/>
              </w:rPr>
              <w:t>宜昌东站物流中心园区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资金来源</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sz w:val="24"/>
                <w:szCs w:val="24"/>
                <w:highlight w:val="none"/>
              </w:rPr>
            </w:pPr>
            <w:bookmarkStart w:id="24" w:name="EB5d53793f3b064a5eb3ee160a5765765c"/>
            <w:bookmarkEnd w:id="24"/>
            <w:r>
              <w:rPr>
                <w:rFonts w:hint="eastAsia" w:ascii="宋体" w:hAnsi="宋体" w:cs="宋体"/>
                <w:sz w:val="24"/>
                <w:szCs w:val="24"/>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资金落实情况</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sz w:val="24"/>
                <w:szCs w:val="24"/>
                <w:highlight w:val="none"/>
              </w:rPr>
            </w:pPr>
            <w:bookmarkStart w:id="25" w:name="EBf953ec32c284435eaad730150a2f24b6"/>
            <w:bookmarkEnd w:id="25"/>
            <w:r>
              <w:rPr>
                <w:rFonts w:hint="eastAsia" w:ascii="宋体" w:hAnsi="宋体" w:cs="宋体"/>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服务范围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60" w:lineRule="exact"/>
              <w:jc w:val="left"/>
              <w:rPr>
                <w:rFonts w:ascii="宋体" w:hAnsi="宋体" w:cs="宋体"/>
                <w:sz w:val="24"/>
                <w:szCs w:val="24"/>
                <w:highlight w:val="none"/>
              </w:rPr>
            </w:pPr>
            <w:bookmarkStart w:id="26" w:name="EB75c79fb771dc4e07a8a759d7551ff4a8"/>
            <w:bookmarkEnd w:id="26"/>
            <w:r>
              <w:rPr>
                <w:rFonts w:hint="eastAsia" w:ascii="宋体" w:hAnsi="宋体" w:cs="宋体"/>
                <w:color w:val="000000"/>
                <w:sz w:val="24"/>
                <w:szCs w:val="24"/>
                <w:highlight w:val="none"/>
              </w:rPr>
              <w:t>宜昌东站物流中心（含天元物流招商中心、公铁联运港、天元国际汽车物流城A区、天元国际汽车城B区及其附属区域，商品车展示区，商用车卖场等所有区域）整个园区所有区域2021-2023年度驻场保洁服务。</w:t>
            </w:r>
            <w:r>
              <w:rPr>
                <w:rFonts w:hint="eastAsia" w:ascii="宋体" w:hAnsi="宋体" w:cs="宋体"/>
                <w:sz w:val="24"/>
                <w:szCs w:val="24"/>
                <w:highlight w:val="none"/>
              </w:rPr>
              <w:t>服务人员不少于18人。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1.3.2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服务期限</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32"/>
              <w:shd w:val="clear" w:color="auto" w:fill="FFFFFF"/>
              <w:spacing w:line="400" w:lineRule="exact"/>
              <w:rPr>
                <w:rFonts w:cs="宋体"/>
                <w:color w:val="000000"/>
                <w:highlight w:val="none"/>
              </w:rPr>
            </w:pPr>
            <w:r>
              <w:rPr>
                <w:rFonts w:hint="eastAsia" w:cs="宋体"/>
                <w:color w:val="000000"/>
                <w:highlight w:val="none"/>
              </w:rPr>
              <w:t>2年(24个月)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1.3.3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资格审查方式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27" w:name="EBfb35baf2d17c40b0a73d526f43f1f05f"/>
            <w:bookmarkEnd w:id="27"/>
            <w:r>
              <w:rPr>
                <w:rFonts w:hint="eastAsia" w:ascii="宋体" w:hAnsi="宋体" w:cs="宋体"/>
                <w:color w:val="000000"/>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1.3.4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招标方式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28" w:name="EBff70116223de4b8e8451c34577c8886c"/>
            <w:bookmarkEnd w:id="28"/>
            <w:r>
              <w:rPr>
                <w:rFonts w:hint="eastAsia" w:ascii="宋体" w:hAnsi="宋体" w:cs="宋体"/>
                <w:color w:val="000000"/>
                <w:sz w:val="24"/>
                <w:szCs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1.3.5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招标控制价</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sz w:val="24"/>
                <w:szCs w:val="24"/>
                <w:highlight w:val="none"/>
              </w:rPr>
            </w:pPr>
            <w:r>
              <w:rPr>
                <w:rFonts w:hint="eastAsia" w:ascii="宋体" w:cs="宋体"/>
                <w:sz w:val="24"/>
                <w:szCs w:val="24"/>
                <w:highlight w:val="none"/>
                <w:lang w:val="zh-CN"/>
              </w:rPr>
              <w:t>本项目招标控制价为人民币</w:t>
            </w:r>
            <w:r>
              <w:rPr>
                <w:rFonts w:hint="eastAsia" w:ascii="宋体" w:cs="宋体"/>
                <w:sz w:val="24"/>
                <w:szCs w:val="24"/>
                <w:highlight w:val="none"/>
              </w:rPr>
              <w:t>112.72</w:t>
            </w:r>
            <w:r>
              <w:rPr>
                <w:rFonts w:hint="eastAsia" w:ascii="宋体" w:cs="宋体"/>
                <w:sz w:val="24"/>
                <w:szCs w:val="24"/>
                <w:highlight w:val="none"/>
                <w:lang w:val="zh-CN"/>
              </w:rPr>
              <w:t>万元（含税）。（</w:t>
            </w:r>
            <w:r>
              <w:rPr>
                <w:rFonts w:hint="eastAsia" w:ascii="宋体" w:cs="宋体"/>
                <w:b/>
                <w:sz w:val="24"/>
                <w:szCs w:val="24"/>
                <w:highlight w:val="none"/>
                <w:lang w:val="zh-CN"/>
              </w:rPr>
              <w:t>投标报价不得高于招标控制价，否则作废标处理</w:t>
            </w:r>
            <w:r>
              <w:rPr>
                <w:rFonts w:hint="eastAsia" w:ascii="宋体" w:cs="宋体"/>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1.4.1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投标人资质条件、能力和信誉</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jc w:val="left"/>
              <w:rPr>
                <w:rFonts w:ascii="宋体" w:hAnsi="宋体" w:cs="宋体"/>
                <w:bCs/>
                <w:sz w:val="24"/>
                <w:szCs w:val="24"/>
                <w:highlight w:val="none"/>
              </w:rPr>
            </w:pPr>
            <w:bookmarkStart w:id="29" w:name="EB055a946796754fb6a8dfaeedc5bb21ce"/>
            <w:bookmarkEnd w:id="29"/>
            <w:r>
              <w:rPr>
                <w:rFonts w:hint="eastAsia" w:ascii="宋体" w:hAnsi="宋体" w:cs="宋体"/>
                <w:bCs/>
                <w:color w:val="000000"/>
                <w:sz w:val="24"/>
                <w:szCs w:val="24"/>
                <w:highlight w:val="none"/>
              </w:rPr>
              <w:t>1、具备工商行政主管部门核发的有效法人营业执照，投标人不得以分公司名义进行投标，投标文件的单位盖章必须使用其法人公章，分公司盖章</w:t>
            </w:r>
            <w:r>
              <w:rPr>
                <w:rFonts w:hint="eastAsia" w:ascii="宋体" w:hAnsi="宋体" w:cs="宋体"/>
                <w:bCs/>
                <w:sz w:val="24"/>
                <w:szCs w:val="24"/>
                <w:highlight w:val="none"/>
              </w:rPr>
              <w:t>无效；（提供营业执照复印件加盖单位公章）</w:t>
            </w:r>
          </w:p>
          <w:p>
            <w:pPr>
              <w:spacing w:line="480" w:lineRule="exact"/>
              <w:jc w:val="left"/>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cs="宋体"/>
                <w:sz w:val="24"/>
                <w:szCs w:val="24"/>
                <w:highlight w:val="none"/>
                <w:lang w:val="zh-CN"/>
              </w:rPr>
              <w:t>投标人近三年承担过或正在履行企业园区或商业综合体或专业化市场或写字楼或酒店或住宅等场所的保洁服务项目；（提供合同复印件加盖单位公章）</w:t>
            </w:r>
          </w:p>
          <w:p>
            <w:pPr>
              <w:spacing w:line="480" w:lineRule="exact"/>
              <w:jc w:val="left"/>
              <w:rPr>
                <w:rFonts w:ascii="宋体" w:cs="宋体"/>
                <w:sz w:val="24"/>
                <w:szCs w:val="24"/>
                <w:highlight w:val="none"/>
                <w:lang w:val="zh-CN"/>
              </w:rPr>
            </w:pPr>
            <w:r>
              <w:rPr>
                <w:rFonts w:hint="eastAsia" w:ascii="宋体" w:hAnsi="宋体" w:cs="宋体"/>
                <w:bCs/>
                <w:sz w:val="24"/>
                <w:szCs w:val="24"/>
                <w:highlight w:val="none"/>
              </w:rPr>
              <w:t>3、</w:t>
            </w:r>
            <w:r>
              <w:rPr>
                <w:rFonts w:hint="eastAsia" w:ascii="宋体" w:cs="宋体"/>
                <w:sz w:val="24"/>
                <w:szCs w:val="24"/>
                <w:highlight w:val="none"/>
                <w:lang w:val="zh-CN"/>
              </w:rPr>
              <w:t>在</w:t>
            </w:r>
            <w:r>
              <w:rPr>
                <w:rFonts w:ascii="宋体" w:cs="宋体"/>
                <w:sz w:val="24"/>
                <w:szCs w:val="24"/>
                <w:highlight w:val="none"/>
                <w:lang w:val="zh-CN"/>
              </w:rPr>
              <w:t>“</w:t>
            </w:r>
            <w:r>
              <w:rPr>
                <w:rFonts w:hint="eastAsia" w:ascii="宋体" w:cs="宋体"/>
                <w:sz w:val="24"/>
                <w:szCs w:val="24"/>
                <w:highlight w:val="none"/>
                <w:lang w:val="zh-CN"/>
              </w:rPr>
              <w:t>信用中国</w:t>
            </w:r>
            <w:r>
              <w:rPr>
                <w:rFonts w:ascii="宋体" w:cs="宋体"/>
                <w:sz w:val="24"/>
                <w:szCs w:val="24"/>
                <w:highlight w:val="none"/>
                <w:lang w:val="zh-CN"/>
              </w:rPr>
              <w:t>”</w:t>
            </w:r>
            <w:r>
              <w:rPr>
                <w:rFonts w:hint="eastAsia" w:ascii="宋体" w:cs="宋体"/>
                <w:sz w:val="24"/>
                <w:szCs w:val="24"/>
                <w:highlight w:val="none"/>
                <w:lang w:val="zh-CN"/>
              </w:rPr>
              <w:t>网站，未被列入失信被执行人；（提供查询截图复印件加盖单位公章）</w:t>
            </w:r>
          </w:p>
          <w:p>
            <w:pPr>
              <w:spacing w:line="480" w:lineRule="exact"/>
              <w:jc w:val="left"/>
              <w:rPr>
                <w:rFonts w:ascii="宋体" w:hAnsi="宋体" w:cs="宋体"/>
                <w:bCs/>
                <w:color w:val="000000"/>
                <w:sz w:val="24"/>
                <w:szCs w:val="24"/>
                <w:highlight w:val="none"/>
              </w:rPr>
            </w:pPr>
            <w:r>
              <w:rPr>
                <w:rFonts w:hint="eastAsia" w:ascii="宋体" w:hAnsi="宋体" w:cs="宋体"/>
                <w:bCs/>
                <w:color w:val="000000"/>
                <w:sz w:val="24"/>
                <w:szCs w:val="24"/>
                <w:highlight w:val="none"/>
              </w:rPr>
              <w:t>4、单位负责人为同一人或者存在控股、管理关系的不同单位，不得参加同一项目投标；与招标人存在利害关系可能影响招标公正性的法人、其他组织或者个人，不得参加投标；</w:t>
            </w:r>
          </w:p>
          <w:p>
            <w:pPr>
              <w:spacing w:line="480" w:lineRule="exact"/>
              <w:jc w:val="left"/>
              <w:rPr>
                <w:rFonts w:ascii="宋体" w:hAnsi="宋体" w:cs="宋体"/>
                <w:bCs/>
                <w:color w:val="000000"/>
                <w:sz w:val="24"/>
                <w:szCs w:val="24"/>
                <w:highlight w:val="none"/>
              </w:rPr>
            </w:pPr>
            <w:r>
              <w:rPr>
                <w:rFonts w:hint="eastAsia" w:ascii="宋体" w:hAnsi="宋体" w:cs="宋体"/>
                <w:bCs/>
                <w:color w:val="000000"/>
                <w:sz w:val="24"/>
                <w:szCs w:val="24"/>
                <w:highlight w:val="none"/>
              </w:rPr>
              <w:t>5、本项目不接受联合体投标，投标人必须以独立投标人身份参与投标。</w:t>
            </w:r>
          </w:p>
          <w:p>
            <w:pPr>
              <w:spacing w:line="480" w:lineRule="exact"/>
              <w:jc w:val="left"/>
              <w:rPr>
                <w:rFonts w:ascii="宋体" w:hAnsi="宋体" w:cs="宋体"/>
                <w:bCs/>
                <w:color w:val="000000"/>
                <w:sz w:val="24"/>
                <w:szCs w:val="24"/>
                <w:highlight w:val="none"/>
              </w:rPr>
            </w:pPr>
            <w:r>
              <w:rPr>
                <w:rFonts w:hint="eastAsia" w:ascii="宋体" w:hAnsi="宋体" w:cs="宋体"/>
                <w:b/>
                <w:bCs w:val="0"/>
                <w:color w:val="000000"/>
                <w:sz w:val="24"/>
                <w:szCs w:val="24"/>
                <w:highlight w:val="none"/>
                <w:lang w:val="zh-CN"/>
              </w:rPr>
              <w:t>投标人在制作投标文件时，应对照上述资格审查要求，提供证明材料原件的复印件并加盖投标单位公章，否则评委将不予采信。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1.4.2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是否接受联合体投标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30" w:name="EBb65be9bd87c24982a41dae633c59a85a"/>
            <w:bookmarkEnd w:id="30"/>
            <w:r>
              <w:rPr>
                <w:rFonts w:hint="eastAsia" w:ascii="宋体" w:hAnsi="宋体" w:cs="宋体"/>
                <w:color w:val="000000"/>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1.9.1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踏勘现场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31" w:name="EB97173a9eab9e4bac85cee71798e0874a"/>
            <w:bookmarkEnd w:id="31"/>
            <w:r>
              <w:rPr>
                <w:rFonts w:hint="eastAsia" w:ascii="宋体" w:hAnsi="宋体" w:cs="宋体"/>
                <w:color w:val="000000"/>
                <w:sz w:val="24"/>
                <w:szCs w:val="24"/>
                <w:highlight w:val="none"/>
              </w:rPr>
              <w:t>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投标预备会</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32" w:name="EB4a47de0a066e4495b93faa9b3d976e4e"/>
            <w:bookmarkEnd w:id="32"/>
            <w:r>
              <w:rPr>
                <w:rFonts w:hint="eastAsia" w:ascii="宋体" w:hAnsi="宋体" w:cs="宋体"/>
                <w:color w:val="000000"/>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分  包</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33" w:name="EBb07a8836544444aea5289a11ea929c88"/>
            <w:bookmarkEnd w:id="33"/>
            <w:r>
              <w:rPr>
                <w:rFonts w:hint="eastAsia" w:ascii="宋体" w:hAnsi="宋体" w:cs="宋体"/>
                <w:color w:val="00000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偏  离</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34" w:name="EB185151ea980649059a2ecd710bde84ad"/>
            <w:bookmarkEnd w:id="34"/>
            <w:r>
              <w:rPr>
                <w:rFonts w:hint="eastAsia" w:ascii="宋体" w:hAnsi="宋体" w:cs="宋体"/>
                <w:color w:val="00000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2.1（8）</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构成招标文件的其他材料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35" w:name="EB92721599887e4f1ca7d14f4c63769905"/>
            <w:bookmarkEnd w:id="35"/>
            <w:r>
              <w:rPr>
                <w:rFonts w:hint="eastAsia" w:ascii="宋体" w:hAnsi="宋体" w:cs="宋体"/>
                <w:color w:val="000000"/>
                <w:sz w:val="24"/>
                <w:szCs w:val="24"/>
                <w:highlight w:val="none"/>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招标文件的</w:t>
            </w:r>
          </w:p>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澄清或修改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投标人提问方式及截止时间：</w:t>
            </w:r>
            <w:bookmarkStart w:id="36" w:name="EB0e5557fa073c45e6af45f4a37e804545"/>
            <w:bookmarkEnd w:id="36"/>
          </w:p>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投标人应在</w:t>
            </w:r>
            <w:r>
              <w:rPr>
                <w:rFonts w:hint="eastAsia" w:ascii="宋体" w:hAnsi="宋体" w:cs="宋体"/>
                <w:b/>
                <w:color w:val="000000"/>
                <w:sz w:val="24"/>
                <w:szCs w:val="24"/>
                <w:highlight w:val="none"/>
              </w:rPr>
              <w:t>2021年</w:t>
            </w:r>
            <w:r>
              <w:rPr>
                <w:rFonts w:hint="eastAsia" w:ascii="宋体" w:hAnsi="宋体" w:cs="宋体"/>
                <w:b/>
                <w:color w:val="000000"/>
                <w:sz w:val="24"/>
                <w:szCs w:val="24"/>
                <w:highlight w:val="none"/>
                <w:lang w:val="en-US" w:eastAsia="zh-CN"/>
              </w:rPr>
              <w:t>6</w:t>
            </w:r>
            <w:r>
              <w:rPr>
                <w:rFonts w:hint="eastAsia" w:ascii="宋体" w:hAnsi="宋体" w:cs="宋体"/>
                <w:b/>
                <w:color w:val="000000"/>
                <w:sz w:val="24"/>
                <w:szCs w:val="24"/>
                <w:highlight w:val="none"/>
              </w:rPr>
              <w:t>月</w:t>
            </w:r>
            <w:r>
              <w:rPr>
                <w:rFonts w:hint="eastAsia" w:ascii="宋体" w:hAnsi="宋体" w:cs="宋体"/>
                <w:b/>
                <w:color w:val="000000"/>
                <w:sz w:val="24"/>
                <w:szCs w:val="24"/>
                <w:highlight w:val="none"/>
                <w:lang w:val="en-US" w:eastAsia="zh-CN"/>
              </w:rPr>
              <w:t>27</w:t>
            </w:r>
            <w:r>
              <w:rPr>
                <w:rFonts w:hint="eastAsia" w:ascii="宋体" w:hAnsi="宋体" w:cs="宋体"/>
                <w:b/>
                <w:color w:val="000000"/>
                <w:sz w:val="24"/>
                <w:szCs w:val="24"/>
                <w:highlight w:val="none"/>
              </w:rPr>
              <w:t>日</w:t>
            </w:r>
            <w:r>
              <w:rPr>
                <w:rFonts w:hint="eastAsia" w:ascii="宋体" w:hAnsi="宋体" w:cs="宋体"/>
                <w:b/>
                <w:color w:val="000000"/>
                <w:sz w:val="24"/>
                <w:szCs w:val="24"/>
                <w:highlight w:val="none"/>
                <w:lang w:val="en-US" w:eastAsia="zh-CN"/>
              </w:rPr>
              <w:t>17</w:t>
            </w:r>
            <w:r>
              <w:rPr>
                <w:rFonts w:hint="eastAsia" w:ascii="宋体" w:hAnsi="宋体" w:cs="宋体"/>
                <w:b/>
                <w:color w:val="000000"/>
                <w:sz w:val="24"/>
                <w:szCs w:val="24"/>
                <w:highlight w:val="none"/>
              </w:rPr>
              <w:t>时</w:t>
            </w:r>
            <w:r>
              <w:rPr>
                <w:rFonts w:ascii="宋体" w:hAnsi="宋体" w:cs="宋体"/>
                <w:b/>
                <w:color w:val="000000"/>
                <w:sz w:val="24"/>
                <w:szCs w:val="24"/>
                <w:highlight w:val="none"/>
              </w:rPr>
              <w:t>前</w:t>
            </w:r>
            <w:r>
              <w:rPr>
                <w:rFonts w:hint="eastAsia" w:ascii="宋体" w:hAnsi="宋体" w:cs="宋体"/>
                <w:color w:val="000000"/>
                <w:sz w:val="24"/>
                <w:szCs w:val="24"/>
                <w:highlight w:val="none"/>
              </w:rPr>
              <w:t>（QQ邮箱</w:t>
            </w:r>
            <w:r>
              <w:rPr>
                <w:rFonts w:ascii="宋体" w:hAnsi="宋体" w:cs="宋体"/>
                <w:color w:val="000000"/>
                <w:sz w:val="24"/>
                <w:szCs w:val="24"/>
                <w:highlight w:val="none"/>
              </w:rPr>
              <w:t>471032422@qq.com</w:t>
            </w:r>
            <w:r>
              <w:rPr>
                <w:rFonts w:hint="eastAsia" w:ascii="宋体" w:hAnsi="宋体" w:cs="宋体"/>
                <w:color w:val="000000"/>
                <w:sz w:val="24"/>
                <w:szCs w:val="24"/>
                <w:highlight w:val="none"/>
              </w:rPr>
              <w:t>）进行提问。</w:t>
            </w:r>
          </w:p>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招标人计划发布澄清修改时间：</w:t>
            </w:r>
            <w:bookmarkStart w:id="37" w:name="EB697352f1d359447b9c3d831be67557ee"/>
            <w:bookmarkEnd w:id="37"/>
            <w:r>
              <w:rPr>
                <w:rFonts w:hint="eastAsia" w:ascii="宋体" w:hAnsi="宋体" w:cs="宋体"/>
                <w:b/>
                <w:color w:val="000000"/>
                <w:sz w:val="24"/>
                <w:szCs w:val="24"/>
                <w:highlight w:val="none"/>
              </w:rPr>
              <w:t>2021年</w:t>
            </w:r>
            <w:r>
              <w:rPr>
                <w:rFonts w:hint="eastAsia" w:ascii="宋体" w:hAnsi="宋体" w:cs="宋体"/>
                <w:b/>
                <w:color w:val="000000"/>
                <w:sz w:val="24"/>
                <w:szCs w:val="24"/>
                <w:highlight w:val="none"/>
                <w:lang w:val="en-US" w:eastAsia="zh-CN"/>
              </w:rPr>
              <w:t>6</w:t>
            </w:r>
            <w:r>
              <w:rPr>
                <w:rFonts w:hint="eastAsia" w:ascii="宋体" w:hAnsi="宋体" w:cs="宋体"/>
                <w:b/>
                <w:color w:val="000000"/>
                <w:sz w:val="24"/>
                <w:szCs w:val="24"/>
                <w:highlight w:val="none"/>
              </w:rPr>
              <w:t>月</w:t>
            </w:r>
            <w:r>
              <w:rPr>
                <w:rFonts w:hint="eastAsia" w:ascii="宋体" w:hAnsi="宋体" w:cs="宋体"/>
                <w:b/>
                <w:color w:val="000000"/>
                <w:sz w:val="24"/>
                <w:szCs w:val="24"/>
                <w:highlight w:val="none"/>
                <w:lang w:val="en-US" w:eastAsia="zh-CN"/>
              </w:rPr>
              <w:t>28</w:t>
            </w:r>
            <w:r>
              <w:rPr>
                <w:rFonts w:hint="eastAsia" w:ascii="宋体" w:hAnsi="宋体" w:cs="宋体"/>
                <w:b/>
                <w:color w:val="000000"/>
                <w:sz w:val="24"/>
                <w:szCs w:val="24"/>
                <w:highlight w:val="none"/>
              </w:rPr>
              <w:t>日17时</w:t>
            </w:r>
            <w:r>
              <w:rPr>
                <w:rFonts w:hint="eastAsia" w:ascii="宋体" w:hAnsi="宋体" w:cs="宋体"/>
                <w:color w:val="000000"/>
                <w:sz w:val="24"/>
                <w:szCs w:val="24"/>
                <w:highlight w:val="none"/>
              </w:rPr>
              <w:t>发布澄清修改方式：在湖北宜昌交运集团股份有限公司官网发布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3.1.1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构成投标文件的其他材料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bookmarkStart w:id="38" w:name="EBa4270fe03d9944d79b443687e1adde2e"/>
            <w:bookmarkEnd w:id="38"/>
            <w:r>
              <w:rPr>
                <w:rFonts w:hint="eastAsia" w:ascii="宋体" w:hAnsi="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3.3.1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投标有效期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自投标截止时间起</w:t>
            </w:r>
            <w:bookmarkStart w:id="39" w:name="EB0f3ee7858e0945abb2e956d02b77da80"/>
            <w:r>
              <w:rPr>
                <w:rFonts w:hint="eastAsia" w:ascii="宋体" w:hAnsi="宋体" w:cs="宋体"/>
                <w:color w:val="000000"/>
                <w:sz w:val="24"/>
                <w:szCs w:val="24"/>
                <w:highlight w:val="none"/>
              </w:rPr>
              <w:t>90</w:t>
            </w:r>
            <w:bookmarkEnd w:id="39"/>
            <w:r>
              <w:rPr>
                <w:rFonts w:hint="eastAsia" w:ascii="宋体" w:hAnsi="宋体" w:cs="宋体"/>
                <w:color w:val="000000"/>
                <w:sz w:val="24"/>
                <w:szCs w:val="24"/>
                <w:highlight w:val="none"/>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3.6</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是否允许递交</w:t>
            </w:r>
          </w:p>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备选投标方案</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3.7.7</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投标文件份数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kern w:val="1"/>
                <w:sz w:val="24"/>
                <w:szCs w:val="24"/>
                <w:highlight w:val="none"/>
              </w:rPr>
            </w:pPr>
            <w:bookmarkStart w:id="40" w:name="EB4c0ff0db43b847bb9ead747b21c4458b"/>
            <w:bookmarkEnd w:id="40"/>
            <w:r>
              <w:rPr>
                <w:rFonts w:hint="eastAsia" w:ascii="宋体" w:hAnsi="宋体" w:cs="宋体"/>
                <w:color w:val="000000"/>
                <w:kern w:val="1"/>
                <w:sz w:val="24"/>
                <w:szCs w:val="24"/>
                <w:highlight w:val="none"/>
              </w:rPr>
              <w:t>投标文件纸质版：</w:t>
            </w:r>
            <w:r>
              <w:rPr>
                <w:rFonts w:hint="eastAsia" w:ascii="宋体" w:hAnsi="宋体" w:cs="宋体"/>
                <w:b/>
                <w:color w:val="000000"/>
                <w:kern w:val="1"/>
                <w:sz w:val="24"/>
                <w:szCs w:val="24"/>
                <w:highlight w:val="none"/>
              </w:rPr>
              <w:t>正本一份，</w:t>
            </w:r>
            <w:r>
              <w:rPr>
                <w:rFonts w:ascii="宋体" w:hAnsi="宋体" w:cs="宋体"/>
                <w:b/>
                <w:color w:val="000000"/>
                <w:kern w:val="1"/>
                <w:sz w:val="24"/>
                <w:szCs w:val="24"/>
                <w:highlight w:val="none"/>
              </w:rPr>
              <w:t>副本</w:t>
            </w:r>
            <w:r>
              <w:rPr>
                <w:rFonts w:hint="eastAsia" w:ascii="宋体" w:hAnsi="宋体" w:cs="宋体"/>
                <w:b/>
                <w:color w:val="000000"/>
                <w:kern w:val="1"/>
                <w:sz w:val="24"/>
                <w:szCs w:val="24"/>
                <w:highlight w:val="none"/>
              </w:rPr>
              <w:t>一</w:t>
            </w:r>
            <w:r>
              <w:rPr>
                <w:rFonts w:ascii="宋体" w:hAnsi="宋体" w:cs="宋体"/>
                <w:b/>
                <w:color w:val="000000"/>
                <w:kern w:val="1"/>
                <w:sz w:val="24"/>
                <w:szCs w:val="24"/>
                <w:highlight w:val="none"/>
              </w:rPr>
              <w:t>份</w:t>
            </w:r>
            <w:r>
              <w:rPr>
                <w:rFonts w:hint="eastAsia" w:ascii="宋体" w:hAnsi="宋体" w:cs="宋体"/>
                <w:b/>
                <w:color w:val="000000"/>
                <w:kern w:val="1"/>
                <w:sz w:val="24"/>
                <w:szCs w:val="24"/>
                <w:highlight w:val="none"/>
              </w:rPr>
              <w:t>。</w:t>
            </w:r>
          </w:p>
          <w:p>
            <w:pPr>
              <w:pStyle w:val="13"/>
              <w:spacing w:line="400" w:lineRule="exact"/>
              <w:ind w:left="480" w:hanging="480" w:hangingChars="200"/>
              <w:rPr>
                <w:rFonts w:ascii="宋体" w:hAnsi="宋体" w:cs="宋体"/>
                <w:b/>
                <w:color w:val="000000"/>
                <w:kern w:val="1"/>
                <w:sz w:val="24"/>
                <w:szCs w:val="24"/>
                <w:highlight w:val="none"/>
              </w:rPr>
            </w:pPr>
            <w:r>
              <w:rPr>
                <w:rFonts w:hint="eastAsia" w:ascii="宋体" w:hAnsi="宋体" w:cs="宋体"/>
                <w:color w:val="000000"/>
                <w:kern w:val="1"/>
                <w:sz w:val="24"/>
                <w:szCs w:val="24"/>
                <w:highlight w:val="none"/>
              </w:rPr>
              <w:t>投标文件电子版：</w:t>
            </w:r>
            <w:r>
              <w:rPr>
                <w:rFonts w:hint="eastAsia" w:ascii="宋体" w:hAnsi="宋体" w:cs="宋体"/>
                <w:b/>
                <w:color w:val="000000"/>
                <w:kern w:val="1"/>
                <w:sz w:val="24"/>
                <w:szCs w:val="24"/>
                <w:highlight w:val="none"/>
              </w:rPr>
              <w:t>电子光盘或U盘二份，电子文件应与</w:t>
            </w:r>
          </w:p>
          <w:p>
            <w:pPr>
              <w:pStyle w:val="13"/>
              <w:spacing w:line="400" w:lineRule="exact"/>
              <w:ind w:left="482" w:hanging="482" w:hangingChars="200"/>
              <w:rPr>
                <w:rFonts w:ascii="宋体" w:hAnsi="宋体" w:cs="宋体"/>
                <w:b/>
                <w:color w:val="000000"/>
                <w:kern w:val="1"/>
                <w:sz w:val="24"/>
                <w:szCs w:val="24"/>
                <w:highlight w:val="none"/>
              </w:rPr>
            </w:pPr>
            <w:r>
              <w:rPr>
                <w:rFonts w:hint="eastAsia" w:ascii="宋体" w:hAnsi="宋体" w:cs="宋体"/>
                <w:b/>
                <w:color w:val="000000"/>
                <w:kern w:val="1"/>
                <w:sz w:val="24"/>
                <w:szCs w:val="24"/>
                <w:highlight w:val="none"/>
              </w:rPr>
              <w:t>纸质文件内容一致</w:t>
            </w:r>
            <w:r>
              <w:rPr>
                <w:rFonts w:hint="eastAsia" w:ascii="宋体" w:hAnsi="宋体" w:cs="宋体"/>
                <w:b/>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4.2.1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投标截止时间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b/>
                <w:color w:val="000000"/>
                <w:sz w:val="24"/>
                <w:szCs w:val="24"/>
                <w:highlight w:val="none"/>
              </w:rPr>
            </w:pPr>
            <w:bookmarkStart w:id="41" w:name="EB4a73218d5ef1494e935148b1c9fa5b99"/>
            <w:bookmarkEnd w:id="41"/>
            <w:r>
              <w:rPr>
                <w:rFonts w:hint="eastAsia" w:ascii="宋体" w:hAnsi="宋体" w:cs="宋体"/>
                <w:b/>
                <w:color w:val="000000"/>
                <w:sz w:val="24"/>
                <w:szCs w:val="24"/>
                <w:highlight w:val="none"/>
              </w:rPr>
              <w:t>2021年</w:t>
            </w:r>
            <w:r>
              <w:rPr>
                <w:rFonts w:hint="eastAsia" w:ascii="宋体" w:hAnsi="宋体" w:cs="宋体"/>
                <w:b/>
                <w:color w:val="000000"/>
                <w:sz w:val="24"/>
                <w:szCs w:val="24"/>
                <w:highlight w:val="none"/>
                <w:lang w:val="en-US" w:eastAsia="zh-CN"/>
              </w:rPr>
              <w:t>7</w:t>
            </w:r>
            <w:r>
              <w:rPr>
                <w:rFonts w:hint="eastAsia" w:ascii="宋体" w:hAnsi="宋体" w:cs="宋体"/>
                <w:b/>
                <w:color w:val="000000"/>
                <w:sz w:val="24"/>
                <w:szCs w:val="24"/>
                <w:highlight w:val="none"/>
              </w:rPr>
              <w:t>月</w:t>
            </w:r>
            <w:r>
              <w:rPr>
                <w:rFonts w:hint="eastAsia" w:ascii="宋体" w:hAnsi="宋体" w:cs="宋体"/>
                <w:b/>
                <w:color w:val="000000"/>
                <w:sz w:val="24"/>
                <w:szCs w:val="24"/>
                <w:highlight w:val="none"/>
                <w:lang w:val="en-US" w:eastAsia="zh-CN"/>
              </w:rPr>
              <w:t>14</w:t>
            </w:r>
            <w:r>
              <w:rPr>
                <w:rFonts w:hint="eastAsia" w:ascii="宋体" w:hAnsi="宋体" w:cs="宋体"/>
                <w:b/>
                <w:color w:val="000000"/>
                <w:sz w:val="24"/>
                <w:szCs w:val="24"/>
                <w:highlight w:val="none"/>
              </w:rPr>
              <w:t>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4.2.2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递交投标文件方式及地点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b/>
                <w:color w:val="000000"/>
                <w:sz w:val="24"/>
                <w:szCs w:val="24"/>
                <w:highlight w:val="none"/>
              </w:rPr>
              <w:t>现场递交</w:t>
            </w:r>
            <w:r>
              <w:rPr>
                <w:rFonts w:hint="eastAsia" w:ascii="宋体" w:hAnsi="宋体" w:cs="宋体"/>
                <w:color w:val="000000"/>
                <w:sz w:val="24"/>
                <w:szCs w:val="24"/>
                <w:highlight w:val="none"/>
              </w:rPr>
              <w:t>：投标人在投标截止时间前，可将纸质版和电子光盘或U盘投标文件，按照招标文件要求密封和加写标记后，递交至</w:t>
            </w:r>
            <w:bookmarkStart w:id="42" w:name="EBe53dfc8c604343ea9bfa0a1ff7dff2c4"/>
            <w:bookmarkEnd w:id="42"/>
            <w:bookmarkStart w:id="43" w:name="EB3cbab604f2b74b3db541bf8bc6af4d5e"/>
            <w:bookmarkEnd w:id="43"/>
            <w:r>
              <w:rPr>
                <w:rFonts w:hint="eastAsia" w:ascii="宋体" w:hAnsi="宋体" w:cs="宋体"/>
                <w:b/>
                <w:bCs/>
                <w:color w:val="000000"/>
                <w:kern w:val="0"/>
                <w:sz w:val="24"/>
                <w:szCs w:val="24"/>
                <w:highlight w:val="none"/>
                <w:u w:val="single"/>
              </w:rPr>
              <w:t>湖北兴焱工程咨询有限公司（宜昌市中南路35号兴发广场A座写字楼5楼）</w:t>
            </w:r>
            <w:r>
              <w:rPr>
                <w:rFonts w:hint="eastAsia" w:ascii="宋体" w:hAnsi="宋体" w:cs="宋体"/>
                <w:color w:val="000000"/>
                <w:sz w:val="24"/>
                <w:szCs w:val="24"/>
                <w:highlight w:val="none"/>
              </w:rPr>
              <w:t>。逾期送达的或者未送达指定地点的，或者未按照招标文件要求密封或者加写标记的投标文件，招标机构将拒收。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5.1.1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开标时间和地点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开标时间：同投标截止时间</w:t>
            </w:r>
          </w:p>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6.1.1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评标委员会的组建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评标委员会</w:t>
            </w:r>
            <w:r>
              <w:rPr>
                <w:rFonts w:hint="eastAsia" w:ascii="宋体" w:hAnsi="宋体" w:cs="宋体"/>
                <w:sz w:val="24"/>
                <w:szCs w:val="24"/>
                <w:highlight w:val="none"/>
              </w:rPr>
              <w:t>构成：</w:t>
            </w:r>
            <w:bookmarkStart w:id="44" w:name="EB5d4c3e910a364cdd899279184532e6c6"/>
            <w:bookmarkEnd w:id="44"/>
            <w:r>
              <w:rPr>
                <w:rFonts w:hint="eastAsia" w:ascii="宋体" w:hAnsi="宋体" w:cs="宋体"/>
                <w:sz w:val="24"/>
                <w:szCs w:val="24"/>
                <w:highlight w:val="none"/>
              </w:rPr>
              <w:t>5人，其中业主评委1人，其他专家</w:t>
            </w:r>
            <w:bookmarkStart w:id="45" w:name="EB8fc5fa365912403981a97d259d684270"/>
            <w:bookmarkEnd w:id="45"/>
            <w:r>
              <w:rPr>
                <w:rFonts w:hint="eastAsia" w:ascii="宋体" w:hAnsi="宋体" w:cs="宋体"/>
                <w:sz w:val="24"/>
                <w:szCs w:val="24"/>
                <w:highlight w:val="none"/>
              </w:rPr>
              <w:t>4人；</w:t>
            </w:r>
          </w:p>
          <w:p>
            <w:pPr>
              <w:spacing w:line="400" w:lineRule="exact"/>
              <w:rPr>
                <w:rFonts w:ascii="宋体" w:hAnsi="宋体" w:cs="宋体"/>
                <w:sz w:val="24"/>
                <w:szCs w:val="24"/>
                <w:highlight w:val="none"/>
              </w:rPr>
            </w:pPr>
            <w:r>
              <w:rPr>
                <w:rFonts w:hint="eastAsia" w:ascii="宋体" w:hAnsi="宋体" w:cs="宋体"/>
                <w:sz w:val="24"/>
                <w:szCs w:val="24"/>
                <w:highlight w:val="none"/>
              </w:rPr>
              <w:t>评标专家确定方式：招标人依法组建。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7.1.1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评标结果公告媒介</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宜昌交通旅游产业发展集团有限公司官网、湖北宜昌交运集团股份有限公司官网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7.2.1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是否授权评标委员会确定中标人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u w:val="single"/>
              </w:rPr>
            </w:pPr>
            <w:bookmarkStart w:id="46" w:name="EB7850533e4d7f49aa8b2af2016d15a4b4"/>
            <w:bookmarkEnd w:id="46"/>
            <w:r>
              <w:rPr>
                <w:rFonts w:hint="eastAsia" w:ascii="宋体" w:hAnsi="宋体" w:cs="宋体"/>
                <w:color w:val="000000"/>
                <w:sz w:val="24"/>
                <w:szCs w:val="24"/>
                <w:highlight w:val="none"/>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7.5.1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履约保证金</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sz w:val="24"/>
                <w:szCs w:val="24"/>
                <w:highlight w:val="none"/>
              </w:rPr>
            </w:pPr>
            <w:r>
              <w:rPr>
                <w:rFonts w:hint="eastAsia" w:ascii="宋体" w:hAnsi="宋体" w:cs="宋体"/>
                <w:b/>
                <w:kern w:val="0"/>
                <w:sz w:val="24"/>
                <w:szCs w:val="24"/>
                <w:highlight w:val="none"/>
              </w:rPr>
              <w:t>50000元。（投标人在签订合同之前向招标人缴纳）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10</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多标段投标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pacing w:val="4"/>
                <w:kern w:val="0"/>
                <w:sz w:val="24"/>
                <w:szCs w:val="24"/>
                <w:highlight w:val="none"/>
              </w:rPr>
            </w:pPr>
            <w:r>
              <w:rPr>
                <w:rFonts w:hint="eastAsia" w:ascii="宋体" w:hAnsi="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10.2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知识产权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10.3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解释权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10.4</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 xml:space="preserve">招标人补充的其他内容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10.4.1</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b/>
                <w:sz w:val="24"/>
                <w:szCs w:val="24"/>
                <w:highlight w:val="none"/>
              </w:rPr>
            </w:pPr>
            <w:r>
              <w:rPr>
                <w:rFonts w:hint="eastAsia" w:ascii="宋体" w:hAnsi="宋体" w:cs="宋体"/>
                <w:color w:val="000000"/>
                <w:sz w:val="24"/>
                <w:szCs w:val="24"/>
                <w:highlight w:val="none"/>
              </w:rPr>
              <w:t>本项目无投标保证金</w:t>
            </w:r>
          </w:p>
        </w:tc>
      </w:tr>
    </w:tbl>
    <w:p>
      <w:pPr>
        <w:pStyle w:val="4"/>
        <w:spacing w:line="440" w:lineRule="exact"/>
        <w:ind w:firstLine="562" w:firstLineChars="200"/>
        <w:rPr>
          <w:rFonts w:cs="宋体"/>
          <w:color w:val="000000"/>
          <w:highlight w:val="none"/>
        </w:rPr>
      </w:pPr>
      <w:bookmarkStart w:id="47" w:name="_Toc12551"/>
      <w:bookmarkStart w:id="48" w:name="_Toc5961"/>
      <w:bookmarkStart w:id="49" w:name="_Toc29163"/>
      <w:bookmarkStart w:id="50" w:name="_Toc30109"/>
      <w:bookmarkStart w:id="51" w:name="_Toc522293505"/>
    </w:p>
    <w:p>
      <w:pPr>
        <w:pStyle w:val="4"/>
        <w:spacing w:line="440" w:lineRule="exact"/>
        <w:ind w:firstLine="562" w:firstLineChars="200"/>
        <w:rPr>
          <w:rFonts w:cs="宋体"/>
          <w:color w:val="000000"/>
          <w:highlight w:val="none"/>
        </w:rPr>
      </w:pPr>
      <w:r>
        <w:rPr>
          <w:rFonts w:hint="eastAsia" w:cs="宋体"/>
          <w:color w:val="000000"/>
          <w:highlight w:val="none"/>
        </w:rPr>
        <w:t>投标人须知正文部分</w:t>
      </w:r>
      <w:bookmarkEnd w:id="47"/>
      <w:bookmarkEnd w:id="48"/>
      <w:bookmarkEnd w:id="49"/>
      <w:bookmarkEnd w:id="50"/>
      <w:bookmarkEnd w:id="51"/>
    </w:p>
    <w:p>
      <w:pPr>
        <w:pStyle w:val="4"/>
        <w:spacing w:line="440" w:lineRule="exact"/>
        <w:ind w:firstLine="482" w:firstLineChars="200"/>
        <w:jc w:val="left"/>
        <w:rPr>
          <w:rFonts w:cs="宋体"/>
          <w:color w:val="000000"/>
          <w:sz w:val="24"/>
          <w:szCs w:val="24"/>
          <w:highlight w:val="none"/>
        </w:rPr>
      </w:pPr>
      <w:bookmarkStart w:id="52" w:name="_Toc522293506"/>
      <w:bookmarkStart w:id="53" w:name="_Toc2439"/>
      <w:bookmarkStart w:id="54" w:name="_Toc10612"/>
      <w:bookmarkStart w:id="55" w:name="_Toc29082"/>
      <w:bookmarkStart w:id="56" w:name="_Toc20114"/>
      <w:r>
        <w:rPr>
          <w:rFonts w:hint="eastAsia" w:cs="宋体"/>
          <w:color w:val="000000"/>
          <w:sz w:val="24"/>
          <w:szCs w:val="24"/>
          <w:highlight w:val="none"/>
        </w:rPr>
        <w:t>1. 总则</w:t>
      </w:r>
      <w:bookmarkEnd w:id="52"/>
      <w:bookmarkEnd w:id="53"/>
      <w:bookmarkEnd w:id="54"/>
      <w:bookmarkEnd w:id="55"/>
      <w:bookmarkEnd w:id="56"/>
    </w:p>
    <w:p>
      <w:pPr>
        <w:pStyle w:val="5"/>
        <w:keepNext w:val="0"/>
        <w:keepLines w:val="0"/>
        <w:spacing w:after="0" w:line="440" w:lineRule="exact"/>
        <w:ind w:firstLine="482" w:firstLineChars="200"/>
        <w:rPr>
          <w:rFonts w:cs="宋体"/>
          <w:color w:val="000000"/>
          <w:highlight w:val="none"/>
        </w:rPr>
      </w:pPr>
      <w:bookmarkStart w:id="57" w:name="_Toc18603036"/>
      <w:bookmarkStart w:id="58" w:name="_Toc261"/>
      <w:bookmarkStart w:id="59" w:name="_Toc22904"/>
      <w:bookmarkStart w:id="60" w:name="_Toc3266"/>
      <w:r>
        <w:rPr>
          <w:rFonts w:hint="eastAsia" w:cs="宋体"/>
          <w:color w:val="000000"/>
          <w:highlight w:val="none"/>
        </w:rPr>
        <w:t>1.1 项目概况</w:t>
      </w:r>
      <w:bookmarkEnd w:id="57"/>
      <w:bookmarkEnd w:id="58"/>
      <w:bookmarkEnd w:id="59"/>
      <w:bookmarkEnd w:id="60"/>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1.1.1 根据《中华人民共和国招标投标法》、《中华人民共和国招标投标法实施条例》等有关法律、法规和规章的规定，本招标项目已具备招标条件，现对本项目服务进行公开招标。</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1.1.2本招标项目招标人：见投标人须知前附表。 </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1.1.3本项目招标代理机构：见投标人须知前附表。</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1.1.4本招标项目名称：见投标人须知前附表。</w:t>
      </w:r>
    </w:p>
    <w:p>
      <w:pPr>
        <w:pStyle w:val="5"/>
        <w:keepNext w:val="0"/>
        <w:keepLines w:val="0"/>
        <w:spacing w:after="0" w:line="440" w:lineRule="exact"/>
        <w:ind w:firstLine="480" w:firstLineChars="200"/>
        <w:rPr>
          <w:rFonts w:cs="宋体"/>
          <w:b w:val="0"/>
          <w:bCs w:val="0"/>
          <w:color w:val="000000"/>
          <w:highlight w:val="none"/>
        </w:rPr>
      </w:pPr>
      <w:bookmarkStart w:id="61" w:name="_Toc18603037"/>
      <w:bookmarkStart w:id="62" w:name="_Toc20450"/>
      <w:r>
        <w:rPr>
          <w:rFonts w:hint="eastAsia" w:cs="宋体"/>
          <w:b w:val="0"/>
          <w:bCs w:val="0"/>
          <w:color w:val="000000"/>
          <w:highlight w:val="none"/>
        </w:rPr>
        <w:t>1.1.5 本项目服务地点：见投标人须知前附表。</w:t>
      </w:r>
      <w:bookmarkEnd w:id="61"/>
      <w:bookmarkEnd w:id="62"/>
    </w:p>
    <w:p>
      <w:pPr>
        <w:pStyle w:val="5"/>
        <w:keepNext w:val="0"/>
        <w:keepLines w:val="0"/>
        <w:spacing w:after="0" w:line="440" w:lineRule="exact"/>
        <w:ind w:firstLine="482" w:firstLineChars="200"/>
        <w:rPr>
          <w:rFonts w:cs="宋体"/>
          <w:color w:val="000000"/>
          <w:highlight w:val="none"/>
        </w:rPr>
      </w:pPr>
      <w:bookmarkStart w:id="63" w:name="_Toc12895"/>
      <w:bookmarkStart w:id="64" w:name="_Toc20764"/>
      <w:bookmarkStart w:id="65" w:name="_Toc18603038"/>
      <w:bookmarkStart w:id="66" w:name="_Toc10378"/>
      <w:r>
        <w:rPr>
          <w:rFonts w:hint="eastAsia" w:cs="宋体"/>
          <w:color w:val="000000"/>
          <w:highlight w:val="none"/>
        </w:rPr>
        <w:t>1.2 资金来源和落实情况</w:t>
      </w:r>
      <w:bookmarkEnd w:id="63"/>
      <w:bookmarkEnd w:id="64"/>
      <w:bookmarkEnd w:id="65"/>
      <w:bookmarkEnd w:id="66"/>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1.2.1 本招标项目的资金来源：见投标人须知前附表。</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1.2.2本招标项目的资金落实情况：见投标人须知前附表。</w:t>
      </w:r>
    </w:p>
    <w:p>
      <w:pPr>
        <w:pStyle w:val="5"/>
        <w:keepNext w:val="0"/>
        <w:keepLines w:val="0"/>
        <w:spacing w:after="0" w:line="440" w:lineRule="exact"/>
        <w:ind w:firstLine="482" w:firstLineChars="200"/>
        <w:rPr>
          <w:rFonts w:cs="宋体"/>
          <w:color w:val="000000"/>
          <w:highlight w:val="none"/>
        </w:rPr>
      </w:pPr>
      <w:bookmarkStart w:id="67" w:name="_Toc18603039"/>
      <w:bookmarkStart w:id="68" w:name="_Toc22689"/>
      <w:bookmarkStart w:id="69" w:name="_Toc24937"/>
      <w:bookmarkStart w:id="70" w:name="_Toc16840"/>
      <w:r>
        <w:rPr>
          <w:rFonts w:hint="eastAsia" w:cs="宋体"/>
          <w:color w:val="000000"/>
          <w:highlight w:val="none"/>
        </w:rPr>
        <w:t>1.3服务范围、服务期、资格审查方式和招标方式</w:t>
      </w:r>
      <w:bookmarkEnd w:id="67"/>
      <w:bookmarkEnd w:id="68"/>
      <w:bookmarkEnd w:id="69"/>
      <w:bookmarkEnd w:id="70"/>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1.3.1 本次服务范围：见投标人须知前附表。</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1.3.2 本项目的服务期：见投标人须知前附表。</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1.3.3本项目的资格审查方式：见投标人须知前附表。</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1.3.4 本项目的招标方式：见投标人须知前附表。</w:t>
      </w:r>
    </w:p>
    <w:p>
      <w:pPr>
        <w:pStyle w:val="5"/>
        <w:keepNext w:val="0"/>
        <w:keepLines w:val="0"/>
        <w:spacing w:after="0" w:line="440" w:lineRule="exact"/>
        <w:ind w:firstLine="482" w:firstLineChars="200"/>
        <w:rPr>
          <w:rFonts w:cs="宋体"/>
          <w:color w:val="000000"/>
          <w:highlight w:val="none"/>
        </w:rPr>
      </w:pPr>
      <w:bookmarkStart w:id="71" w:name="_Toc18603040"/>
      <w:bookmarkStart w:id="72" w:name="_Toc3036"/>
      <w:bookmarkStart w:id="73" w:name="_Toc14144"/>
      <w:bookmarkStart w:id="74" w:name="_Toc31747"/>
      <w:r>
        <w:rPr>
          <w:rFonts w:hint="eastAsia" w:cs="宋体"/>
          <w:color w:val="000000"/>
          <w:highlight w:val="none"/>
        </w:rPr>
        <w:t>1.4 投标人资格要求</w:t>
      </w:r>
      <w:bookmarkEnd w:id="71"/>
      <w:bookmarkEnd w:id="72"/>
      <w:bookmarkEnd w:id="73"/>
      <w:bookmarkEnd w:id="74"/>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1.4.1 投标人的资质条件、能力和信誉应符合投标人须知前附表的要求。</w:t>
      </w:r>
    </w:p>
    <w:p>
      <w:pPr>
        <w:pStyle w:val="5"/>
        <w:keepNext w:val="0"/>
        <w:keepLines w:val="0"/>
        <w:spacing w:after="0" w:line="440" w:lineRule="exact"/>
        <w:ind w:firstLine="482" w:firstLineChars="200"/>
        <w:rPr>
          <w:rFonts w:cs="宋体"/>
          <w:highlight w:val="none"/>
        </w:rPr>
      </w:pPr>
      <w:bookmarkStart w:id="75" w:name="_Toc18603041"/>
      <w:bookmarkStart w:id="76" w:name="_Toc4759"/>
      <w:bookmarkStart w:id="77" w:name="_Toc15988"/>
      <w:bookmarkStart w:id="78" w:name="_Toc30244"/>
      <w:r>
        <w:rPr>
          <w:rFonts w:hint="eastAsia" w:cs="宋体"/>
          <w:highlight w:val="none"/>
        </w:rPr>
        <w:t>1.5 费用承担</w:t>
      </w:r>
      <w:bookmarkEnd w:id="75"/>
      <w:bookmarkEnd w:id="76"/>
      <w:bookmarkEnd w:id="77"/>
      <w:bookmarkEnd w:id="78"/>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投标人准备和参加投标活动发生的费用自理。</w:t>
      </w:r>
    </w:p>
    <w:p>
      <w:pPr>
        <w:pStyle w:val="5"/>
        <w:keepNext w:val="0"/>
        <w:keepLines w:val="0"/>
        <w:spacing w:after="0" w:line="440" w:lineRule="exact"/>
        <w:ind w:firstLine="482" w:firstLineChars="200"/>
        <w:rPr>
          <w:rFonts w:cs="宋体"/>
          <w:highlight w:val="none"/>
        </w:rPr>
      </w:pPr>
      <w:bookmarkStart w:id="79" w:name="_Toc9686"/>
      <w:bookmarkStart w:id="80" w:name="_Toc25764"/>
      <w:bookmarkStart w:id="81" w:name="_Toc18603042"/>
      <w:bookmarkStart w:id="82" w:name="_Toc12400"/>
      <w:r>
        <w:rPr>
          <w:rFonts w:hint="eastAsia" w:cs="宋体"/>
          <w:highlight w:val="none"/>
        </w:rPr>
        <w:t>1.6 保密</w:t>
      </w:r>
      <w:bookmarkEnd w:id="79"/>
      <w:bookmarkEnd w:id="80"/>
      <w:bookmarkEnd w:id="81"/>
      <w:bookmarkEnd w:id="82"/>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参与招标投标活动的各方应对招标文件和投标文件中的商业和技术等秘密保密，违者应对由此造成的后果承担法律责任。 </w:t>
      </w:r>
    </w:p>
    <w:p>
      <w:pPr>
        <w:pStyle w:val="5"/>
        <w:keepNext w:val="0"/>
        <w:keepLines w:val="0"/>
        <w:spacing w:after="0" w:line="440" w:lineRule="exact"/>
        <w:ind w:firstLine="482" w:firstLineChars="200"/>
        <w:rPr>
          <w:rFonts w:cs="宋体"/>
          <w:highlight w:val="none"/>
        </w:rPr>
      </w:pPr>
      <w:bookmarkStart w:id="83" w:name="_Toc18603043"/>
      <w:bookmarkStart w:id="84" w:name="_Toc7095"/>
      <w:bookmarkStart w:id="85" w:name="_Toc4714"/>
      <w:bookmarkStart w:id="86" w:name="_Toc18527"/>
      <w:r>
        <w:rPr>
          <w:rFonts w:hint="eastAsia" w:cs="宋体"/>
          <w:highlight w:val="none"/>
        </w:rPr>
        <w:t>1.7 语言文字</w:t>
      </w:r>
      <w:bookmarkEnd w:id="83"/>
      <w:bookmarkEnd w:id="84"/>
      <w:bookmarkEnd w:id="85"/>
      <w:bookmarkEnd w:id="86"/>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除专用术语外，与招标投标有关的语言均使用中文，必要时专用术语应附有中文注释。</w:t>
      </w:r>
    </w:p>
    <w:p>
      <w:pPr>
        <w:pStyle w:val="5"/>
        <w:keepNext w:val="0"/>
        <w:keepLines w:val="0"/>
        <w:spacing w:after="0" w:line="440" w:lineRule="exact"/>
        <w:ind w:firstLine="482" w:firstLineChars="200"/>
        <w:rPr>
          <w:rFonts w:cs="宋体"/>
          <w:highlight w:val="none"/>
        </w:rPr>
      </w:pPr>
      <w:bookmarkStart w:id="87" w:name="_Toc18603044"/>
      <w:bookmarkStart w:id="88" w:name="_Toc31082"/>
      <w:bookmarkStart w:id="89" w:name="_Toc11638"/>
      <w:bookmarkStart w:id="90" w:name="_Toc26840"/>
      <w:r>
        <w:rPr>
          <w:rFonts w:hint="eastAsia" w:cs="宋体"/>
          <w:highlight w:val="none"/>
        </w:rPr>
        <w:t>1.8 计量单位</w:t>
      </w:r>
      <w:bookmarkEnd w:id="87"/>
      <w:bookmarkEnd w:id="88"/>
      <w:bookmarkEnd w:id="89"/>
      <w:bookmarkEnd w:id="90"/>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pPr>
        <w:pStyle w:val="5"/>
        <w:keepNext w:val="0"/>
        <w:keepLines w:val="0"/>
        <w:spacing w:after="0" w:line="440" w:lineRule="exact"/>
        <w:ind w:firstLine="482" w:firstLineChars="200"/>
        <w:rPr>
          <w:rFonts w:cs="宋体"/>
          <w:highlight w:val="none"/>
        </w:rPr>
      </w:pPr>
      <w:bookmarkStart w:id="91" w:name="_Toc18603045"/>
      <w:bookmarkStart w:id="92" w:name="_Toc30654"/>
      <w:bookmarkStart w:id="93" w:name="_Toc32428"/>
      <w:bookmarkStart w:id="94" w:name="_Toc30928"/>
      <w:r>
        <w:rPr>
          <w:rFonts w:hint="eastAsia" w:cs="宋体"/>
          <w:highlight w:val="none"/>
        </w:rPr>
        <w:t>1.9 踏勘现场</w:t>
      </w:r>
      <w:bookmarkEnd w:id="91"/>
      <w:bookmarkEnd w:id="92"/>
      <w:bookmarkEnd w:id="93"/>
      <w:bookmarkEnd w:id="94"/>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1.9.1 投标人有需要可自行踏勘项目现场。 </w:t>
      </w:r>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1.9.2 投标人踏勘现场发生的费用自理。</w:t>
      </w:r>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1.9.3投标人自行负责在踏勘现场中所发生的人员伤亡和财产损失。</w:t>
      </w:r>
    </w:p>
    <w:p>
      <w:pPr>
        <w:pStyle w:val="5"/>
        <w:keepNext w:val="0"/>
        <w:keepLines w:val="0"/>
        <w:spacing w:after="0" w:line="440" w:lineRule="exact"/>
        <w:ind w:firstLine="482" w:firstLineChars="200"/>
        <w:rPr>
          <w:rFonts w:cs="宋体"/>
          <w:highlight w:val="none"/>
        </w:rPr>
      </w:pPr>
      <w:bookmarkStart w:id="95" w:name="_Toc18603046"/>
      <w:bookmarkStart w:id="96" w:name="_Toc30253"/>
      <w:bookmarkStart w:id="97" w:name="_Toc13874"/>
      <w:bookmarkStart w:id="98" w:name="_Toc13743"/>
      <w:r>
        <w:rPr>
          <w:rFonts w:hint="eastAsia" w:cs="宋体"/>
          <w:highlight w:val="none"/>
        </w:rPr>
        <w:t>1.10 投标预备会</w:t>
      </w:r>
      <w:bookmarkEnd w:id="95"/>
      <w:bookmarkEnd w:id="96"/>
      <w:bookmarkEnd w:id="97"/>
      <w:bookmarkEnd w:id="98"/>
    </w:p>
    <w:p>
      <w:pPr>
        <w:pStyle w:val="5"/>
        <w:keepNext w:val="0"/>
        <w:keepLines w:val="0"/>
        <w:spacing w:after="0" w:line="440" w:lineRule="exact"/>
        <w:ind w:firstLine="480" w:firstLineChars="200"/>
        <w:rPr>
          <w:rFonts w:cs="宋体"/>
          <w:b w:val="0"/>
          <w:highlight w:val="none"/>
        </w:rPr>
      </w:pPr>
      <w:bookmarkStart w:id="99" w:name="_Toc12764"/>
      <w:bookmarkStart w:id="100" w:name="_Toc7074"/>
      <w:bookmarkStart w:id="101" w:name="_Toc3981"/>
      <w:bookmarkStart w:id="102" w:name="_Toc18603047"/>
      <w:r>
        <w:rPr>
          <w:rFonts w:hint="eastAsia" w:cs="宋体"/>
          <w:b w:val="0"/>
          <w:highlight w:val="none"/>
        </w:rPr>
        <w:t>本项目不召开投标预备会。</w:t>
      </w:r>
    </w:p>
    <w:p>
      <w:pPr>
        <w:pStyle w:val="5"/>
        <w:keepNext w:val="0"/>
        <w:keepLines w:val="0"/>
        <w:spacing w:after="0" w:line="440" w:lineRule="exact"/>
        <w:ind w:firstLine="482" w:firstLineChars="200"/>
        <w:rPr>
          <w:rFonts w:cs="宋体"/>
          <w:highlight w:val="none"/>
        </w:rPr>
      </w:pPr>
      <w:r>
        <w:rPr>
          <w:rFonts w:hint="eastAsia" w:cs="宋体"/>
          <w:highlight w:val="none"/>
        </w:rPr>
        <w:t>1.11 分包</w:t>
      </w:r>
      <w:bookmarkEnd w:id="99"/>
      <w:bookmarkEnd w:id="100"/>
      <w:bookmarkEnd w:id="101"/>
      <w:bookmarkEnd w:id="102"/>
    </w:p>
    <w:p>
      <w:pPr>
        <w:pStyle w:val="5"/>
        <w:keepNext w:val="0"/>
        <w:keepLines w:val="0"/>
        <w:spacing w:after="0" w:line="440" w:lineRule="exact"/>
        <w:ind w:firstLine="480" w:firstLineChars="200"/>
        <w:rPr>
          <w:rFonts w:cs="宋体"/>
          <w:b w:val="0"/>
          <w:highlight w:val="none"/>
        </w:rPr>
      </w:pPr>
      <w:bookmarkStart w:id="103" w:name="_Toc28769"/>
      <w:bookmarkStart w:id="104" w:name="_Toc26623"/>
      <w:bookmarkStart w:id="105" w:name="_Toc17045"/>
      <w:bookmarkStart w:id="106" w:name="_Toc18603048"/>
      <w:r>
        <w:rPr>
          <w:rFonts w:hint="eastAsia" w:cs="宋体"/>
          <w:b w:val="0"/>
          <w:highlight w:val="none"/>
        </w:rPr>
        <w:t>本项目不允许分包。</w:t>
      </w:r>
    </w:p>
    <w:p>
      <w:pPr>
        <w:pStyle w:val="5"/>
        <w:keepNext w:val="0"/>
        <w:keepLines w:val="0"/>
        <w:spacing w:after="0" w:line="440" w:lineRule="exact"/>
        <w:ind w:firstLine="482" w:firstLineChars="200"/>
        <w:rPr>
          <w:rFonts w:cs="宋体"/>
          <w:highlight w:val="none"/>
        </w:rPr>
      </w:pPr>
      <w:r>
        <w:rPr>
          <w:rFonts w:hint="eastAsia" w:cs="宋体"/>
          <w:highlight w:val="none"/>
        </w:rPr>
        <w:t>1.12 偏离</w:t>
      </w:r>
      <w:bookmarkEnd w:id="103"/>
      <w:bookmarkEnd w:id="104"/>
      <w:bookmarkEnd w:id="105"/>
      <w:bookmarkEnd w:id="106"/>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本项目不允许偏离。</w:t>
      </w:r>
    </w:p>
    <w:p>
      <w:pPr>
        <w:pStyle w:val="4"/>
        <w:spacing w:line="440" w:lineRule="exact"/>
        <w:ind w:firstLine="482" w:firstLineChars="200"/>
        <w:jc w:val="left"/>
        <w:rPr>
          <w:rFonts w:cs="宋体"/>
          <w:color w:val="000000"/>
          <w:sz w:val="24"/>
          <w:szCs w:val="24"/>
          <w:highlight w:val="none"/>
        </w:rPr>
      </w:pPr>
      <w:bookmarkStart w:id="107" w:name="_Toc31093"/>
      <w:bookmarkStart w:id="108" w:name="_Toc27319"/>
      <w:bookmarkStart w:id="109" w:name="_Toc13429"/>
      <w:bookmarkStart w:id="110" w:name="_Toc2379"/>
      <w:bookmarkStart w:id="111" w:name="_Toc522293507"/>
      <w:r>
        <w:rPr>
          <w:rFonts w:hint="eastAsia" w:cs="宋体"/>
          <w:color w:val="000000"/>
          <w:sz w:val="24"/>
          <w:szCs w:val="24"/>
          <w:highlight w:val="none"/>
        </w:rPr>
        <w:t>2. 招标文件</w:t>
      </w:r>
      <w:bookmarkEnd w:id="107"/>
      <w:bookmarkEnd w:id="108"/>
      <w:bookmarkEnd w:id="109"/>
      <w:bookmarkEnd w:id="110"/>
      <w:bookmarkEnd w:id="111"/>
    </w:p>
    <w:p>
      <w:pPr>
        <w:pStyle w:val="5"/>
        <w:keepNext w:val="0"/>
        <w:keepLines w:val="0"/>
        <w:spacing w:after="0" w:line="440" w:lineRule="exact"/>
        <w:ind w:firstLine="482" w:firstLineChars="200"/>
        <w:rPr>
          <w:rFonts w:cs="宋体"/>
          <w:color w:val="000000"/>
          <w:highlight w:val="none"/>
        </w:rPr>
      </w:pPr>
      <w:bookmarkStart w:id="112" w:name="_Toc17601"/>
      <w:bookmarkStart w:id="113" w:name="_Toc17365"/>
      <w:bookmarkStart w:id="114" w:name="_Toc25752"/>
      <w:bookmarkStart w:id="115" w:name="_Toc18603050"/>
      <w:r>
        <w:rPr>
          <w:rFonts w:hint="eastAsia" w:cs="宋体"/>
          <w:color w:val="000000"/>
          <w:highlight w:val="none"/>
        </w:rPr>
        <w:t>2.1 招标文件的组成</w:t>
      </w:r>
      <w:bookmarkEnd w:id="112"/>
      <w:bookmarkEnd w:id="113"/>
      <w:bookmarkEnd w:id="114"/>
      <w:bookmarkEnd w:id="115"/>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本招标文件包括：</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（1）招标公告；</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（2）投标人须知；</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（3）评标办法；</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（4）合同条款及格式；</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（5）商务要求； </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（6）相关技术资料；  </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（7）投标文件格式；</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（8）投标人须知前附表规定的其他材料。</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根据本章第1.10款和第2.2款对招标文件所作的澄清、修改，构成招标文件的组成部分。</w:t>
      </w:r>
    </w:p>
    <w:p>
      <w:pPr>
        <w:pStyle w:val="5"/>
        <w:keepNext w:val="0"/>
        <w:keepLines w:val="0"/>
        <w:spacing w:after="0" w:line="440" w:lineRule="exact"/>
        <w:ind w:firstLine="482" w:firstLineChars="200"/>
        <w:rPr>
          <w:rFonts w:cs="宋体"/>
          <w:color w:val="000000"/>
          <w:highlight w:val="none"/>
        </w:rPr>
      </w:pPr>
      <w:bookmarkStart w:id="116" w:name="_Toc20979"/>
      <w:bookmarkStart w:id="117" w:name="_Toc2717"/>
      <w:bookmarkStart w:id="118" w:name="_Toc3800"/>
      <w:bookmarkStart w:id="119" w:name="_Toc18603051"/>
      <w:r>
        <w:rPr>
          <w:rFonts w:hint="eastAsia" w:cs="宋体"/>
          <w:color w:val="000000"/>
          <w:highlight w:val="none"/>
        </w:rPr>
        <w:t>2.2 招标文件的澄清和修改</w:t>
      </w:r>
      <w:bookmarkEnd w:id="116"/>
      <w:bookmarkEnd w:id="117"/>
      <w:bookmarkEnd w:id="118"/>
      <w:bookmarkEnd w:id="119"/>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2.2.1 投标人应仔细阅读和检查招标文件的全部内容。如有疑问，应在申请人须知前附表第2.2项规定的提问截止时间前提问，要求招标机构对招标文件予以网上澄清。</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澄清或修改通知发出的时间距投标人须知前附表第4.2.1项规定的投标截止时间不足15日，并且澄清或修改的内容影响投标文件编制的，相应延长投标截止时间。</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2.2.4 任何口头上的澄清、修改一律视为无效。当招标文件、澄清或修改内容相互矛盾时，以最后发出的文件为准。</w:t>
      </w:r>
    </w:p>
    <w:p>
      <w:pPr>
        <w:pStyle w:val="5"/>
        <w:keepNext w:val="0"/>
        <w:keepLines w:val="0"/>
        <w:spacing w:after="0" w:line="440" w:lineRule="exact"/>
        <w:ind w:firstLine="482" w:firstLineChars="200"/>
        <w:rPr>
          <w:rFonts w:cs="宋体"/>
          <w:color w:val="000000"/>
          <w:highlight w:val="none"/>
        </w:rPr>
      </w:pPr>
      <w:bookmarkStart w:id="120" w:name="_Toc13582"/>
      <w:bookmarkStart w:id="121" w:name="_Toc7693"/>
      <w:bookmarkStart w:id="122" w:name="_Toc15437"/>
      <w:bookmarkStart w:id="123" w:name="_Toc18603052"/>
      <w:r>
        <w:rPr>
          <w:rFonts w:hint="eastAsia" w:cs="宋体"/>
          <w:color w:val="000000"/>
          <w:highlight w:val="none"/>
        </w:rPr>
        <w:t>2.3 对招标文件的异议</w:t>
      </w:r>
      <w:bookmarkEnd w:id="120"/>
      <w:bookmarkEnd w:id="121"/>
      <w:bookmarkEnd w:id="122"/>
      <w:bookmarkEnd w:id="123"/>
    </w:p>
    <w:p>
      <w:pPr>
        <w:spacing w:line="440" w:lineRule="exact"/>
        <w:ind w:firstLine="480" w:firstLineChars="200"/>
        <w:jc w:val="left"/>
        <w:rPr>
          <w:rFonts w:ascii="宋体" w:hAnsi="宋体" w:cs="宋体"/>
          <w:color w:val="000000"/>
          <w:sz w:val="24"/>
          <w:szCs w:val="24"/>
          <w:highlight w:val="none"/>
        </w:rPr>
      </w:pPr>
      <w:bookmarkStart w:id="124" w:name="EB637a2fd476d041a5b3c9c6ab288b697a"/>
      <w:r>
        <w:rPr>
          <w:rFonts w:hint="eastAsia" w:ascii="宋体" w:hAnsi="宋体" w:cs="宋体"/>
          <w:color w:val="000000"/>
          <w:sz w:val="24"/>
          <w:szCs w:val="24"/>
          <w:highlight w:val="none"/>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本处所称异议是指投标人或者其他利害关系人认为招标文件的内容违反法律、法规、规章的强制性规定，违反公开、公平、公正和诚实信用原则，影响投标人投标而向招标人提出的异议。</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2.3.2 招标人对异议的答复构成对招标文件澄清或者修改的，招标机构将按照本章第2.2款规定办理。</w:t>
      </w:r>
    </w:p>
    <w:bookmarkEnd w:id="124"/>
    <w:p>
      <w:pPr>
        <w:pStyle w:val="4"/>
        <w:spacing w:line="440" w:lineRule="exact"/>
        <w:ind w:firstLine="482" w:firstLineChars="200"/>
        <w:jc w:val="left"/>
        <w:rPr>
          <w:rFonts w:cs="宋体"/>
          <w:color w:val="000000"/>
          <w:sz w:val="24"/>
          <w:szCs w:val="24"/>
          <w:highlight w:val="none"/>
        </w:rPr>
      </w:pPr>
      <w:bookmarkStart w:id="125" w:name="_Toc9178"/>
      <w:bookmarkStart w:id="126" w:name="_Toc20941"/>
      <w:bookmarkStart w:id="127" w:name="_Toc23235"/>
      <w:bookmarkStart w:id="128" w:name="_Toc27113"/>
      <w:bookmarkStart w:id="129" w:name="_Toc522293508"/>
      <w:r>
        <w:rPr>
          <w:rFonts w:hint="eastAsia" w:cs="宋体"/>
          <w:color w:val="000000"/>
          <w:sz w:val="24"/>
          <w:szCs w:val="24"/>
          <w:highlight w:val="none"/>
        </w:rPr>
        <w:t>3. 投标文件</w:t>
      </w:r>
      <w:bookmarkEnd w:id="125"/>
      <w:bookmarkEnd w:id="126"/>
      <w:bookmarkEnd w:id="127"/>
      <w:bookmarkEnd w:id="128"/>
      <w:bookmarkEnd w:id="129"/>
    </w:p>
    <w:p>
      <w:pPr>
        <w:pStyle w:val="5"/>
        <w:keepNext w:val="0"/>
        <w:keepLines w:val="0"/>
        <w:spacing w:after="0" w:line="440" w:lineRule="exact"/>
        <w:ind w:firstLine="482" w:firstLineChars="200"/>
        <w:rPr>
          <w:rFonts w:cs="宋体"/>
          <w:color w:val="000000"/>
          <w:highlight w:val="none"/>
        </w:rPr>
      </w:pPr>
      <w:bookmarkStart w:id="130" w:name="_Toc18603054"/>
      <w:bookmarkStart w:id="131" w:name="_Toc18581"/>
      <w:bookmarkStart w:id="132" w:name="_Toc15373"/>
      <w:bookmarkStart w:id="133" w:name="_Toc9866"/>
      <w:r>
        <w:rPr>
          <w:rFonts w:hint="eastAsia" w:cs="宋体"/>
          <w:color w:val="000000"/>
          <w:highlight w:val="none"/>
        </w:rPr>
        <w:t>3.1 投标文件的组成</w:t>
      </w:r>
      <w:bookmarkEnd w:id="130"/>
      <w:bookmarkEnd w:id="131"/>
      <w:bookmarkEnd w:id="132"/>
      <w:bookmarkEnd w:id="133"/>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3.1.1 投标文件应包括但不限于下列内容（详细内容见第六章“投标文件格式”）：</w:t>
      </w:r>
    </w:p>
    <w:p>
      <w:pPr>
        <w:spacing w:line="44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封面、投标函、商务文件。</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3.1.2 投标人须知前附表规定不接受联合体投标的，或投标人没有组成联合体的，投标文件中不包括联合体协议书。 </w:t>
      </w:r>
    </w:p>
    <w:p>
      <w:pPr>
        <w:pStyle w:val="5"/>
        <w:keepNext w:val="0"/>
        <w:keepLines w:val="0"/>
        <w:spacing w:after="0" w:line="440" w:lineRule="exact"/>
        <w:ind w:firstLine="482" w:firstLineChars="200"/>
        <w:rPr>
          <w:rFonts w:cs="宋体"/>
          <w:color w:val="000000"/>
          <w:highlight w:val="none"/>
        </w:rPr>
      </w:pPr>
      <w:bookmarkStart w:id="134" w:name="_Toc18603055"/>
      <w:bookmarkStart w:id="135" w:name="_Toc10865"/>
      <w:bookmarkStart w:id="136" w:name="_Toc15808"/>
      <w:bookmarkStart w:id="137" w:name="_Toc10993"/>
      <w:r>
        <w:rPr>
          <w:rFonts w:hint="eastAsia" w:cs="宋体"/>
          <w:color w:val="000000"/>
          <w:highlight w:val="none"/>
        </w:rPr>
        <w:t>3.2 投标报价</w:t>
      </w:r>
      <w:bookmarkEnd w:id="134"/>
      <w:bookmarkEnd w:id="135"/>
      <w:bookmarkEnd w:id="136"/>
      <w:bookmarkEnd w:id="137"/>
    </w:p>
    <w:p>
      <w:pPr>
        <w:pStyle w:val="5"/>
        <w:keepNext w:val="0"/>
        <w:keepLines w:val="0"/>
        <w:spacing w:after="0" w:line="440" w:lineRule="exact"/>
        <w:ind w:firstLine="480" w:firstLineChars="200"/>
        <w:rPr>
          <w:rFonts w:cs="宋体"/>
          <w:b w:val="0"/>
          <w:bCs w:val="0"/>
          <w:highlight w:val="none"/>
        </w:rPr>
      </w:pPr>
      <w:bookmarkStart w:id="138" w:name="_Toc11801"/>
      <w:bookmarkStart w:id="139" w:name="_Toc18603056"/>
      <w:r>
        <w:rPr>
          <w:rFonts w:hint="eastAsia" w:cs="宋体"/>
          <w:b w:val="0"/>
          <w:bCs w:val="0"/>
          <w:color w:val="000000"/>
          <w:highlight w:val="none"/>
        </w:rPr>
        <w:t>3.</w:t>
      </w:r>
      <w:r>
        <w:rPr>
          <w:rFonts w:hint="eastAsia" w:cs="宋体"/>
          <w:b w:val="0"/>
          <w:bCs w:val="0"/>
          <w:highlight w:val="none"/>
        </w:rPr>
        <w:t>2.1</w:t>
      </w:r>
      <w:bookmarkEnd w:id="138"/>
      <w:bookmarkStart w:id="140" w:name="_Toc26073"/>
      <w:r>
        <w:rPr>
          <w:rFonts w:hint="eastAsia" w:cs="宋体"/>
          <w:b w:val="0"/>
          <w:bCs w:val="0"/>
          <w:highlight w:val="none"/>
        </w:rPr>
        <w:t>投标人应按照第四章“合同条款”及第五章“商务及技术要求”规定的内容进行报价。</w:t>
      </w:r>
      <w:r>
        <w:rPr>
          <w:rFonts w:hint="eastAsia"/>
          <w:szCs w:val="21"/>
          <w:highlight w:val="none"/>
        </w:rPr>
        <w:t>投标报价中所报的单价和合价，以及投标报价汇总表中的价格均包括完成该服务项目的保洁人员工资、社会保险、服装费、人身意外伤害险、福利、节假日加班费、技能培训费、人员餐费等，同时还包括承包单位管理费、法定税金、防暑降温费、公共卫生费、合理利润等一切费用及投标人认为或应该知道需计入的费用。</w:t>
      </w:r>
      <w:r>
        <w:rPr>
          <w:rFonts w:hint="eastAsia" w:cs="宋体"/>
          <w:b w:val="0"/>
          <w:bCs w:val="0"/>
          <w:highlight w:val="none"/>
        </w:rPr>
        <w:t>并按第六章“投标文件格式”确定的格式报出总价。投标总价应为优惠后的最终报价，国家规定的各项税费不得优惠。投标总价中也不得缺漏招标文件所要求的内容，否则，在评标时将被视为已包含在投标总价中。</w:t>
      </w:r>
    </w:p>
    <w:p>
      <w:pPr>
        <w:pStyle w:val="5"/>
        <w:keepNext w:val="0"/>
        <w:keepLines w:val="0"/>
        <w:spacing w:after="0" w:line="440" w:lineRule="exact"/>
        <w:ind w:firstLine="480" w:firstLineChars="200"/>
        <w:rPr>
          <w:rFonts w:cs="宋体"/>
          <w:b w:val="0"/>
          <w:bCs w:val="0"/>
          <w:color w:val="000000"/>
          <w:highlight w:val="none"/>
        </w:rPr>
      </w:pPr>
      <w:r>
        <w:rPr>
          <w:rFonts w:hint="eastAsia" w:cs="宋体"/>
          <w:b w:val="0"/>
          <w:bCs w:val="0"/>
          <w:color w:val="000000"/>
          <w:highlight w:val="none"/>
        </w:rPr>
        <w:t>3.3.2投标人在报价中如有任何遗漏，涉及到招标文件规定的范围、质量或限制了采购人的权利和投标人的义务以及招标文件中的各项规定，均将直接导致无效投标。</w:t>
      </w:r>
      <w:bookmarkEnd w:id="140"/>
    </w:p>
    <w:p>
      <w:pPr>
        <w:pStyle w:val="5"/>
        <w:keepNext w:val="0"/>
        <w:keepLines w:val="0"/>
        <w:spacing w:after="0" w:line="440" w:lineRule="exact"/>
        <w:ind w:firstLine="480" w:firstLineChars="200"/>
        <w:rPr>
          <w:rFonts w:cs="宋体"/>
          <w:b w:val="0"/>
          <w:bCs w:val="0"/>
          <w:color w:val="000000"/>
          <w:highlight w:val="none"/>
        </w:rPr>
      </w:pPr>
      <w:bookmarkStart w:id="141" w:name="_Toc31518"/>
      <w:r>
        <w:rPr>
          <w:rFonts w:hint="eastAsia" w:cs="宋体"/>
          <w:b w:val="0"/>
          <w:bCs w:val="0"/>
          <w:color w:val="000000"/>
          <w:highlight w:val="none"/>
        </w:rPr>
        <w:t>3.2.3投标人因完成本项目服务的管理费、交通费、住宿费、餐费、税费等所有费用均由投标人承担，并包含在所报的投标报价内，招标人不另行支付。</w:t>
      </w:r>
      <w:bookmarkEnd w:id="141"/>
    </w:p>
    <w:p>
      <w:pPr>
        <w:pStyle w:val="5"/>
        <w:keepNext w:val="0"/>
        <w:keepLines w:val="0"/>
        <w:spacing w:after="0" w:line="440" w:lineRule="exact"/>
        <w:ind w:firstLine="480" w:firstLineChars="200"/>
        <w:rPr>
          <w:rFonts w:cs="宋体"/>
          <w:b w:val="0"/>
          <w:bCs w:val="0"/>
          <w:color w:val="000000"/>
          <w:highlight w:val="none"/>
        </w:rPr>
      </w:pPr>
      <w:bookmarkStart w:id="142" w:name="_Toc14259"/>
      <w:r>
        <w:rPr>
          <w:rFonts w:hint="eastAsia" w:cs="宋体"/>
          <w:b w:val="0"/>
          <w:bCs w:val="0"/>
          <w:color w:val="000000"/>
          <w:highlight w:val="none"/>
        </w:rPr>
        <w:t>3.2.4</w:t>
      </w:r>
      <w:bookmarkEnd w:id="142"/>
      <w:r>
        <w:rPr>
          <w:rFonts w:hint="eastAsia" w:cs="宋体"/>
          <w:b w:val="0"/>
          <w:bCs w:val="0"/>
          <w:highlight w:val="none"/>
        </w:rPr>
        <w:t>投标人所报的投标价为包干价，在合同执行过程中是固定不变的，不得以任何理由予以变更。</w:t>
      </w:r>
    </w:p>
    <w:p>
      <w:pPr>
        <w:pStyle w:val="5"/>
        <w:keepNext w:val="0"/>
        <w:keepLines w:val="0"/>
        <w:spacing w:after="0" w:line="440" w:lineRule="exact"/>
        <w:ind w:firstLine="480" w:firstLineChars="200"/>
        <w:rPr>
          <w:rFonts w:cs="宋体"/>
          <w:b w:val="0"/>
          <w:bCs w:val="0"/>
          <w:color w:val="000000"/>
          <w:highlight w:val="none"/>
        </w:rPr>
      </w:pPr>
      <w:r>
        <w:rPr>
          <w:rFonts w:hint="eastAsia"/>
          <w:b w:val="0"/>
          <w:highlight w:val="none"/>
        </w:rPr>
        <w:t>3.2.5投标人的投标报价超过本项目招标控制价的作废标处理。</w:t>
      </w:r>
    </w:p>
    <w:p>
      <w:pPr>
        <w:pStyle w:val="5"/>
        <w:keepNext w:val="0"/>
        <w:keepLines w:val="0"/>
        <w:spacing w:after="0" w:line="440" w:lineRule="exact"/>
        <w:ind w:firstLine="482" w:firstLineChars="200"/>
        <w:rPr>
          <w:rFonts w:cs="宋体"/>
          <w:color w:val="000000"/>
          <w:highlight w:val="none"/>
        </w:rPr>
      </w:pPr>
      <w:bookmarkStart w:id="143" w:name="_Toc547"/>
      <w:bookmarkStart w:id="144" w:name="_Toc17538"/>
      <w:bookmarkStart w:id="145" w:name="_Toc19269"/>
      <w:r>
        <w:rPr>
          <w:rFonts w:hint="eastAsia" w:cs="宋体"/>
          <w:color w:val="000000"/>
          <w:highlight w:val="none"/>
        </w:rPr>
        <w:t>3.3 投标有效期</w:t>
      </w:r>
      <w:bookmarkEnd w:id="139"/>
      <w:bookmarkEnd w:id="143"/>
      <w:bookmarkEnd w:id="144"/>
      <w:bookmarkEnd w:id="145"/>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3.3.1 在投标人须知前附表规定的投标有效期内，投标人不得要求撤销或修改其投标文件。</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3.3.2 出现特殊情况需要延长投标有效期的，招标人以邮箱形式通知所有投标人延长投标有效期。</w:t>
      </w:r>
    </w:p>
    <w:p>
      <w:pPr>
        <w:pStyle w:val="5"/>
        <w:keepNext w:val="0"/>
        <w:keepLines w:val="0"/>
        <w:spacing w:after="0" w:line="440" w:lineRule="exact"/>
        <w:ind w:firstLine="482" w:firstLineChars="200"/>
        <w:rPr>
          <w:rFonts w:cs="宋体"/>
          <w:color w:val="000000"/>
          <w:highlight w:val="none"/>
        </w:rPr>
      </w:pPr>
      <w:bookmarkStart w:id="146" w:name="_Toc18603057"/>
      <w:bookmarkStart w:id="147" w:name="_Toc23571"/>
      <w:bookmarkStart w:id="148" w:name="_Toc7016"/>
      <w:bookmarkStart w:id="149" w:name="_Toc16051"/>
      <w:r>
        <w:rPr>
          <w:rFonts w:hint="eastAsia" w:cs="宋体"/>
          <w:color w:val="000000"/>
          <w:highlight w:val="none"/>
        </w:rPr>
        <w:t>3.5 资格审查资料</w:t>
      </w:r>
      <w:bookmarkEnd w:id="146"/>
      <w:bookmarkEnd w:id="147"/>
      <w:bookmarkEnd w:id="148"/>
      <w:bookmarkEnd w:id="149"/>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3.5.1 投标人应按招标文件规定的内容填写，并按具体要求提供相关证件及证明材料。</w:t>
      </w:r>
    </w:p>
    <w:p>
      <w:pPr>
        <w:pStyle w:val="5"/>
        <w:keepNext w:val="0"/>
        <w:keepLines w:val="0"/>
        <w:spacing w:after="0" w:line="440" w:lineRule="exact"/>
        <w:ind w:firstLine="482" w:firstLineChars="200"/>
        <w:rPr>
          <w:rFonts w:cs="宋体"/>
          <w:color w:val="000000"/>
          <w:highlight w:val="none"/>
        </w:rPr>
      </w:pPr>
      <w:bookmarkStart w:id="150" w:name="_Toc5550"/>
      <w:bookmarkStart w:id="151" w:name="_Toc19500"/>
      <w:bookmarkStart w:id="152" w:name="_Toc29172"/>
      <w:bookmarkStart w:id="153" w:name="_Toc18603058"/>
      <w:r>
        <w:rPr>
          <w:rFonts w:hint="eastAsia" w:cs="宋体"/>
          <w:color w:val="000000"/>
          <w:highlight w:val="none"/>
        </w:rPr>
        <w:t>3.6 备选投标方案</w:t>
      </w:r>
      <w:bookmarkEnd w:id="150"/>
      <w:bookmarkEnd w:id="151"/>
      <w:bookmarkEnd w:id="152"/>
      <w:bookmarkEnd w:id="153"/>
    </w:p>
    <w:p>
      <w:pPr>
        <w:pStyle w:val="5"/>
        <w:keepNext w:val="0"/>
        <w:keepLines w:val="0"/>
        <w:spacing w:after="0" w:line="440" w:lineRule="exact"/>
        <w:ind w:firstLine="480" w:firstLineChars="200"/>
        <w:rPr>
          <w:rFonts w:cs="宋体"/>
          <w:b w:val="0"/>
          <w:bCs w:val="0"/>
          <w:color w:val="000000"/>
          <w:highlight w:val="none"/>
        </w:rPr>
      </w:pPr>
      <w:bookmarkStart w:id="154" w:name="_Toc18603059"/>
      <w:bookmarkStart w:id="155" w:name="_Toc31397"/>
      <w:r>
        <w:rPr>
          <w:rFonts w:hint="eastAsia" w:cs="宋体"/>
          <w:b w:val="0"/>
          <w:bCs w:val="0"/>
          <w:color w:val="000000"/>
          <w:highlight w:val="none"/>
        </w:rPr>
        <w:t>投标人不得递交备选投标方案。</w:t>
      </w:r>
      <w:bookmarkEnd w:id="154"/>
      <w:bookmarkEnd w:id="155"/>
    </w:p>
    <w:p>
      <w:pPr>
        <w:pStyle w:val="5"/>
        <w:keepNext w:val="0"/>
        <w:keepLines w:val="0"/>
        <w:spacing w:after="0" w:line="440" w:lineRule="exact"/>
        <w:ind w:firstLine="482" w:firstLineChars="200"/>
        <w:rPr>
          <w:rFonts w:cs="宋体"/>
          <w:color w:val="000000"/>
          <w:highlight w:val="none"/>
        </w:rPr>
      </w:pPr>
      <w:bookmarkStart w:id="156" w:name="_Toc18603060"/>
      <w:bookmarkStart w:id="157" w:name="_Toc5911"/>
      <w:bookmarkStart w:id="158" w:name="_Toc11015"/>
      <w:bookmarkStart w:id="159" w:name="_Toc14333"/>
      <w:r>
        <w:rPr>
          <w:rFonts w:hint="eastAsia" w:cs="宋体"/>
          <w:color w:val="000000"/>
          <w:highlight w:val="none"/>
        </w:rPr>
        <w:t>3.7 投标文件的编制</w:t>
      </w:r>
      <w:bookmarkEnd w:id="156"/>
      <w:bookmarkEnd w:id="157"/>
      <w:bookmarkEnd w:id="158"/>
      <w:bookmarkEnd w:id="159"/>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3.7.2投标文件应当对招标文件有关服务期、投标有效期、商务要求、服务范围等实质性内容作出响应。</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3.7.3 纸质版投标文件</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3.7.4投标文件正本一份,副本份数见投标人须知前附表。正本和副本的封面上应清楚地标记“正本”或“副本”的字样。当副本和正本不一致时，以正本为准。</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3.7.5投标文件的正本与副本应分别装订成册，（</w:t>
      </w:r>
      <w:r>
        <w:rPr>
          <w:rFonts w:hint="eastAsia" w:ascii="宋体" w:hAnsi="宋体" w:cs="宋体"/>
          <w:b/>
          <w:color w:val="000000"/>
          <w:sz w:val="24"/>
          <w:szCs w:val="24"/>
          <w:highlight w:val="none"/>
        </w:rPr>
        <w:t>本项目投标文件不得采用活页装订，应采用胶包装订方式</w:t>
      </w:r>
      <w:r>
        <w:rPr>
          <w:rFonts w:hint="eastAsia" w:ascii="宋体" w:hAnsi="宋体" w:cs="宋体"/>
          <w:color w:val="000000"/>
          <w:sz w:val="24"/>
          <w:szCs w:val="24"/>
          <w:highlight w:val="none"/>
        </w:rPr>
        <w:t>）。</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3.7.6 电子投标文件制作</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（1）电子投标文件为</w:t>
      </w:r>
      <w:r>
        <w:rPr>
          <w:rFonts w:hint="eastAsia" w:ascii="宋体" w:hAnsi="宋体" w:cs="宋体"/>
          <w:b/>
          <w:color w:val="000000"/>
          <w:sz w:val="24"/>
          <w:szCs w:val="24"/>
          <w:highlight w:val="none"/>
        </w:rPr>
        <w:t>PDF格式</w:t>
      </w:r>
      <w:r>
        <w:rPr>
          <w:rFonts w:hint="eastAsia" w:ascii="宋体" w:hAnsi="宋体" w:cs="宋体"/>
          <w:color w:val="000000"/>
          <w:sz w:val="24"/>
          <w:szCs w:val="24"/>
          <w:highlight w:val="none"/>
        </w:rPr>
        <w:t>，刻录至光盘或U盘中随纸质版文件一同密封提交。</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（2）电子投标文件中的证明资料的“复印件”均为“原件彩色扫描件”。</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（3）第六章投标文件格式中要求签字或盖章的地方，投标人均应签字或盖章。凡第六章投标文件格式中未明确要求投标人签章的地方，无需签章。</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（4）如招标人需对招标文件进行澄清、修改或补充，而发出电子招标澄清修改文件时，则投标人应以招标人最后发布的电子招标澄清修改文件制作电子投标文件。</w:t>
      </w:r>
    </w:p>
    <w:p>
      <w:pPr>
        <w:pStyle w:val="4"/>
        <w:spacing w:line="440" w:lineRule="exact"/>
        <w:ind w:firstLine="482" w:firstLineChars="200"/>
        <w:jc w:val="left"/>
        <w:rPr>
          <w:rFonts w:cs="宋体"/>
          <w:color w:val="000000"/>
          <w:sz w:val="24"/>
          <w:szCs w:val="24"/>
          <w:highlight w:val="none"/>
        </w:rPr>
      </w:pPr>
      <w:bookmarkStart w:id="160" w:name="_Toc13935"/>
      <w:bookmarkStart w:id="161" w:name="_Toc7598"/>
      <w:bookmarkStart w:id="162" w:name="_Toc12544"/>
      <w:bookmarkStart w:id="163" w:name="_Toc19632"/>
      <w:r>
        <w:rPr>
          <w:rFonts w:hint="eastAsia" w:cs="宋体"/>
          <w:color w:val="000000"/>
          <w:sz w:val="24"/>
          <w:szCs w:val="24"/>
          <w:highlight w:val="none"/>
        </w:rPr>
        <w:t>4. 投标</w:t>
      </w:r>
      <w:bookmarkEnd w:id="160"/>
      <w:bookmarkEnd w:id="161"/>
      <w:bookmarkEnd w:id="162"/>
      <w:bookmarkEnd w:id="163"/>
    </w:p>
    <w:p>
      <w:pPr>
        <w:pStyle w:val="5"/>
        <w:keepNext w:val="0"/>
        <w:keepLines w:val="0"/>
        <w:spacing w:after="0" w:line="440" w:lineRule="exact"/>
        <w:ind w:firstLine="482" w:firstLineChars="200"/>
        <w:rPr>
          <w:rFonts w:cs="宋体"/>
          <w:color w:val="000000"/>
          <w:highlight w:val="none"/>
        </w:rPr>
      </w:pPr>
      <w:bookmarkStart w:id="164" w:name="_Toc18603062"/>
      <w:bookmarkStart w:id="165" w:name="_Toc31829"/>
      <w:bookmarkStart w:id="166" w:name="_Toc27135"/>
      <w:bookmarkStart w:id="167" w:name="_Toc1954"/>
      <w:r>
        <w:rPr>
          <w:rFonts w:hint="eastAsia" w:cs="宋体"/>
          <w:color w:val="000000"/>
          <w:highlight w:val="none"/>
        </w:rPr>
        <w:t>4.1 投标文件的密封和标识</w:t>
      </w:r>
      <w:bookmarkEnd w:id="164"/>
      <w:bookmarkEnd w:id="165"/>
      <w:bookmarkEnd w:id="166"/>
      <w:bookmarkEnd w:id="167"/>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4.1.1 电子投标文件</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投标人将电子投标文件刻录至光盘或U盘中随纸质版文件一同密封提交。</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4.1.2纸质版投标文件</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4.1.3 未按本章第4.1.1项或第4.1.2项要求密封和加写标记的投标文件，招标人应予拒收。</w:t>
      </w:r>
    </w:p>
    <w:p>
      <w:pPr>
        <w:pStyle w:val="5"/>
        <w:keepNext w:val="0"/>
        <w:keepLines w:val="0"/>
        <w:spacing w:after="0" w:line="440" w:lineRule="exact"/>
        <w:ind w:firstLine="482" w:firstLineChars="200"/>
        <w:rPr>
          <w:rFonts w:cs="宋体"/>
          <w:color w:val="000000"/>
          <w:highlight w:val="none"/>
        </w:rPr>
      </w:pPr>
      <w:bookmarkStart w:id="168" w:name="_Toc18603063"/>
      <w:bookmarkStart w:id="169" w:name="_Toc13962"/>
      <w:bookmarkStart w:id="170" w:name="_Toc9446"/>
      <w:bookmarkStart w:id="171" w:name="_Toc9052"/>
      <w:r>
        <w:rPr>
          <w:rFonts w:hint="eastAsia" w:cs="宋体"/>
          <w:color w:val="000000"/>
          <w:highlight w:val="none"/>
        </w:rPr>
        <w:t>4.2 投标文件的递交</w:t>
      </w:r>
      <w:bookmarkEnd w:id="168"/>
      <w:bookmarkEnd w:id="169"/>
      <w:bookmarkEnd w:id="170"/>
      <w:bookmarkEnd w:id="171"/>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4.2.1 投标人递交投标文件的截止时间（投标截止时间）：见投标人须知前附表4.2.1项。</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4.2.3超过投标截止时间送达的投标文件将被拒绝接收。</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4.2.4到投标截止时间止，递交投标文件的投标人少于3个时，招标人将依法重新组织招标。</w:t>
      </w:r>
    </w:p>
    <w:p>
      <w:pPr>
        <w:pStyle w:val="5"/>
        <w:keepNext w:val="0"/>
        <w:keepLines w:val="0"/>
        <w:spacing w:after="0" w:line="440" w:lineRule="exact"/>
        <w:ind w:firstLine="482" w:firstLineChars="200"/>
        <w:rPr>
          <w:rFonts w:cs="宋体"/>
          <w:color w:val="000000"/>
          <w:highlight w:val="none"/>
        </w:rPr>
      </w:pPr>
      <w:bookmarkStart w:id="172" w:name="_Toc18603064"/>
      <w:bookmarkStart w:id="173" w:name="_Toc15646"/>
      <w:bookmarkStart w:id="174" w:name="_Toc11938"/>
      <w:bookmarkStart w:id="175" w:name="_Toc875"/>
      <w:r>
        <w:rPr>
          <w:rFonts w:hint="eastAsia" w:cs="宋体"/>
          <w:color w:val="000000"/>
          <w:highlight w:val="none"/>
        </w:rPr>
        <w:t>4.3 投标文件的修改与撤回</w:t>
      </w:r>
      <w:bookmarkEnd w:id="172"/>
      <w:bookmarkEnd w:id="173"/>
      <w:bookmarkEnd w:id="174"/>
      <w:bookmarkEnd w:id="175"/>
    </w:p>
    <w:p>
      <w:pPr>
        <w:spacing w:line="440" w:lineRule="exact"/>
        <w:ind w:firstLine="480" w:firstLineChars="200"/>
        <w:jc w:val="left"/>
        <w:rPr>
          <w:rFonts w:ascii="宋体" w:hAnsi="宋体" w:cs="宋体"/>
          <w:color w:val="000000"/>
          <w:sz w:val="24"/>
          <w:szCs w:val="24"/>
          <w:highlight w:val="none"/>
        </w:rPr>
      </w:pPr>
      <w:bookmarkStart w:id="176" w:name="EB0136289d5cbd4b2fa6204b4b0668e04f"/>
      <w:r>
        <w:rPr>
          <w:rFonts w:hint="eastAsia" w:ascii="宋体" w:hAnsi="宋体" w:cs="宋体"/>
          <w:color w:val="000000"/>
          <w:sz w:val="24"/>
          <w:szCs w:val="24"/>
          <w:highlight w:val="none"/>
        </w:rPr>
        <w:t>4.3.1 在投标人须知前附表规定的投标截止时间前，投标人可以修改或撤回已递交的投标文件，但应以书面形式通知招标人。</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4.3.2 投标人修改或撤回已递交投标文件的书面通知应按照招标文件的要求签字或盖章。招标人收到书面通知后，向投标人出具签收凭证。</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4.3.3 修改的内容为投标文件的组成部分。修改的投标文件应按照本章第3条、第4条规定进行编制、密封、标记和递交，并标明“修改”字样。</w:t>
      </w:r>
    </w:p>
    <w:bookmarkEnd w:id="176"/>
    <w:p>
      <w:pPr>
        <w:spacing w:line="440" w:lineRule="exact"/>
        <w:ind w:firstLine="482" w:firstLineChars="200"/>
        <w:jc w:val="left"/>
        <w:outlineLvl w:val="0"/>
        <w:rPr>
          <w:rFonts w:ascii="宋体" w:hAnsi="宋体" w:cs="宋体"/>
          <w:b/>
          <w:bCs/>
          <w:color w:val="000000"/>
          <w:sz w:val="24"/>
          <w:szCs w:val="24"/>
          <w:highlight w:val="none"/>
        </w:rPr>
      </w:pPr>
      <w:bookmarkStart w:id="177" w:name="_Toc522293510"/>
      <w:bookmarkStart w:id="178" w:name="_Toc18135"/>
      <w:bookmarkStart w:id="179" w:name="_Toc28810"/>
      <w:bookmarkStart w:id="180" w:name="_Toc16060"/>
      <w:r>
        <w:rPr>
          <w:rFonts w:hint="eastAsia" w:ascii="宋体" w:hAnsi="宋体" w:cs="宋体"/>
          <w:b/>
          <w:bCs/>
          <w:color w:val="000000"/>
          <w:sz w:val="24"/>
          <w:szCs w:val="24"/>
          <w:highlight w:val="none"/>
        </w:rPr>
        <w:t>5. 开标</w:t>
      </w:r>
      <w:bookmarkEnd w:id="177"/>
      <w:bookmarkEnd w:id="178"/>
      <w:bookmarkEnd w:id="179"/>
      <w:bookmarkEnd w:id="180"/>
    </w:p>
    <w:p>
      <w:pPr>
        <w:pStyle w:val="5"/>
        <w:keepNext w:val="0"/>
        <w:keepLines w:val="0"/>
        <w:spacing w:after="0" w:line="440" w:lineRule="exact"/>
        <w:ind w:firstLine="482" w:firstLineChars="200"/>
        <w:rPr>
          <w:rFonts w:cs="宋体"/>
          <w:color w:val="000000"/>
          <w:highlight w:val="none"/>
        </w:rPr>
      </w:pPr>
      <w:bookmarkStart w:id="181" w:name="_Toc18603065"/>
      <w:bookmarkStart w:id="182" w:name="_Toc8892"/>
      <w:bookmarkStart w:id="183" w:name="_Toc8745"/>
      <w:bookmarkStart w:id="184" w:name="_Toc23232"/>
      <w:r>
        <w:rPr>
          <w:rFonts w:hint="eastAsia" w:cs="宋体"/>
          <w:color w:val="000000"/>
          <w:highlight w:val="none"/>
        </w:rPr>
        <w:t>5.1 开标时间和地点</w:t>
      </w:r>
      <w:bookmarkEnd w:id="181"/>
      <w:bookmarkEnd w:id="182"/>
      <w:bookmarkEnd w:id="183"/>
      <w:bookmarkEnd w:id="184"/>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5.1.1 招标人将于投标人须知前附表规定的时间和地点公开开标，并邀请所有投标人授权委托代表准时参加。</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5"/>
        <w:keepNext w:val="0"/>
        <w:keepLines w:val="0"/>
        <w:spacing w:after="0" w:line="440" w:lineRule="exact"/>
        <w:ind w:firstLine="482" w:firstLineChars="200"/>
        <w:rPr>
          <w:rFonts w:cs="宋体"/>
          <w:color w:val="000000"/>
          <w:highlight w:val="none"/>
        </w:rPr>
      </w:pPr>
      <w:bookmarkStart w:id="185" w:name="_Toc18603066"/>
      <w:bookmarkStart w:id="186" w:name="_Toc31488"/>
      <w:bookmarkStart w:id="187" w:name="_Toc10548"/>
      <w:bookmarkStart w:id="188" w:name="_Toc15229"/>
      <w:r>
        <w:rPr>
          <w:rFonts w:hint="eastAsia" w:cs="宋体"/>
          <w:color w:val="000000"/>
          <w:highlight w:val="none"/>
        </w:rPr>
        <w:t>5.2 开标程序</w:t>
      </w:r>
      <w:bookmarkEnd w:id="185"/>
      <w:bookmarkEnd w:id="186"/>
      <w:bookmarkEnd w:id="187"/>
      <w:bookmarkEnd w:id="188"/>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主持人按下列程序进行开标：</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（1）宣布开标会开始，并宣读开标纪律； </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（2）宣布主持人、招标人代表、记录人、监标人等有关人员姓名； </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（3）公布在投标截止时间前投标文件的递交情况，并由招标人核查投标人授权委托代表是否出席开标会并核实其身份；</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（4）对未按照第3.7.5项规定提交全部类型投标文件的投标人，其投标文件将被拒绝；</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（5）唱标，公布投标人名称、投标报价、服务期及其他内容；</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（6）招标人代表、监标人、记录人、投标人授权委托代表等在开标记录表上签字确认；</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（7）宣布评标期间注意事项；</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（8）开标结束。</w:t>
      </w:r>
    </w:p>
    <w:p>
      <w:pPr>
        <w:pStyle w:val="5"/>
        <w:keepNext w:val="0"/>
        <w:keepLines w:val="0"/>
        <w:spacing w:after="0" w:line="440" w:lineRule="exact"/>
        <w:ind w:firstLine="482" w:firstLineChars="200"/>
        <w:rPr>
          <w:rFonts w:cs="宋体"/>
          <w:color w:val="000000"/>
          <w:highlight w:val="none"/>
        </w:rPr>
      </w:pPr>
      <w:bookmarkStart w:id="189" w:name="_Toc18603067"/>
      <w:bookmarkStart w:id="190" w:name="_Toc14154"/>
      <w:bookmarkStart w:id="191" w:name="_Toc31370"/>
      <w:bookmarkStart w:id="192" w:name="_Toc24285"/>
      <w:r>
        <w:rPr>
          <w:rFonts w:hint="eastAsia" w:cs="宋体"/>
          <w:color w:val="000000"/>
          <w:highlight w:val="none"/>
        </w:rPr>
        <w:t>5.3 开标异议</w:t>
      </w:r>
      <w:bookmarkEnd w:id="189"/>
      <w:bookmarkEnd w:id="190"/>
      <w:bookmarkEnd w:id="191"/>
      <w:bookmarkEnd w:id="192"/>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5.3.1 投标人对开标有异议的，应当在开标现场提出；招标人当场对异议作出答复，并制作记录。</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4"/>
        <w:spacing w:line="440" w:lineRule="exact"/>
        <w:ind w:firstLine="482" w:firstLineChars="200"/>
        <w:jc w:val="left"/>
        <w:rPr>
          <w:rFonts w:cs="宋体"/>
          <w:color w:val="000000"/>
          <w:sz w:val="24"/>
          <w:szCs w:val="24"/>
          <w:highlight w:val="none"/>
        </w:rPr>
      </w:pPr>
      <w:bookmarkStart w:id="193" w:name="_Toc522293511"/>
      <w:bookmarkStart w:id="194" w:name="_Toc4650"/>
      <w:bookmarkStart w:id="195" w:name="_Toc20949"/>
      <w:bookmarkStart w:id="196" w:name="_Toc25751"/>
      <w:bookmarkStart w:id="197" w:name="_Toc14374"/>
      <w:r>
        <w:rPr>
          <w:rFonts w:hint="eastAsia" w:cs="宋体"/>
          <w:color w:val="000000"/>
          <w:sz w:val="24"/>
          <w:szCs w:val="24"/>
          <w:highlight w:val="none"/>
        </w:rPr>
        <w:t>6. 评标</w:t>
      </w:r>
      <w:bookmarkEnd w:id="193"/>
      <w:bookmarkEnd w:id="194"/>
      <w:bookmarkEnd w:id="195"/>
      <w:bookmarkEnd w:id="196"/>
      <w:bookmarkEnd w:id="197"/>
    </w:p>
    <w:p>
      <w:pPr>
        <w:pStyle w:val="5"/>
        <w:keepNext w:val="0"/>
        <w:keepLines w:val="0"/>
        <w:spacing w:after="0" w:line="440" w:lineRule="exact"/>
        <w:ind w:firstLine="482" w:firstLineChars="200"/>
        <w:rPr>
          <w:rFonts w:cs="宋体"/>
          <w:highlight w:val="none"/>
        </w:rPr>
      </w:pPr>
      <w:bookmarkStart w:id="198" w:name="_Toc18603069"/>
      <w:bookmarkStart w:id="199" w:name="_Toc30701"/>
      <w:bookmarkStart w:id="200" w:name="_Toc6130"/>
      <w:bookmarkStart w:id="201" w:name="_Toc25980"/>
      <w:r>
        <w:rPr>
          <w:rFonts w:hint="eastAsia" w:cs="宋体"/>
          <w:color w:val="000000"/>
          <w:highlight w:val="none"/>
        </w:rPr>
        <w:t>6.1 评标委员会</w:t>
      </w:r>
      <w:bookmarkEnd w:id="198"/>
      <w:bookmarkEnd w:id="199"/>
      <w:bookmarkEnd w:id="200"/>
      <w:bookmarkEnd w:id="201"/>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6.1.1 评标由招标人依法组建的评标委员会负责。评标委员会由业主评委1人和其他专家评委4人组成。</w:t>
      </w:r>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6.1.2 评标委员会成员有下列情形之一的，应当回避：</w:t>
      </w:r>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（1）招标人或投标人的主要负责人的近亲属；</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（2）与投标人有经济利益关系或其他利害关系，可能影响对投标公正评审的；</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（3）曾因在招标、评标以及其他与招标投标有关活动中从事违法行为而受过行政处罚或刑事处罚的。</w:t>
      </w:r>
    </w:p>
    <w:p>
      <w:pPr>
        <w:pStyle w:val="5"/>
        <w:keepNext w:val="0"/>
        <w:keepLines w:val="0"/>
        <w:spacing w:after="0" w:line="440" w:lineRule="exact"/>
        <w:ind w:firstLine="482" w:firstLineChars="200"/>
        <w:rPr>
          <w:rFonts w:cs="宋体"/>
          <w:color w:val="000000"/>
          <w:highlight w:val="none"/>
        </w:rPr>
      </w:pPr>
      <w:bookmarkStart w:id="202" w:name="_Toc18603070"/>
      <w:bookmarkStart w:id="203" w:name="_Toc14512"/>
      <w:bookmarkStart w:id="204" w:name="_Toc17994"/>
      <w:bookmarkStart w:id="205" w:name="_Toc26518"/>
      <w:r>
        <w:rPr>
          <w:rFonts w:hint="eastAsia" w:cs="宋体"/>
          <w:color w:val="000000"/>
          <w:highlight w:val="none"/>
        </w:rPr>
        <w:t>6.2 评标原则</w:t>
      </w:r>
      <w:bookmarkEnd w:id="202"/>
      <w:bookmarkEnd w:id="203"/>
      <w:bookmarkEnd w:id="204"/>
      <w:bookmarkEnd w:id="205"/>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评标活动遵循公平、公正、科学和择优的原则。</w:t>
      </w:r>
    </w:p>
    <w:p>
      <w:pPr>
        <w:pStyle w:val="5"/>
        <w:keepNext w:val="0"/>
        <w:keepLines w:val="0"/>
        <w:spacing w:after="0" w:line="440" w:lineRule="exact"/>
        <w:ind w:firstLine="482" w:firstLineChars="200"/>
        <w:rPr>
          <w:rFonts w:cs="宋体"/>
          <w:color w:val="000000"/>
          <w:highlight w:val="none"/>
        </w:rPr>
      </w:pPr>
      <w:bookmarkStart w:id="206" w:name="_Toc18603071"/>
      <w:bookmarkStart w:id="207" w:name="_Toc24760"/>
      <w:bookmarkStart w:id="208" w:name="_Toc19258"/>
      <w:bookmarkStart w:id="209" w:name="_Toc25062"/>
      <w:r>
        <w:rPr>
          <w:rFonts w:hint="eastAsia" w:cs="宋体"/>
          <w:color w:val="000000"/>
          <w:highlight w:val="none"/>
        </w:rPr>
        <w:t>6.3 评标</w:t>
      </w:r>
      <w:bookmarkEnd w:id="206"/>
      <w:bookmarkEnd w:id="207"/>
      <w:bookmarkEnd w:id="208"/>
      <w:bookmarkEnd w:id="209"/>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评标委员会按照第三章“评标办法”规定的方法、评审因素、标准和程序对投标文件进行评审。第三章“评标办法”没有规定的方法、评审因素和标准，不作为评标依据。</w:t>
      </w:r>
    </w:p>
    <w:p>
      <w:pPr>
        <w:pStyle w:val="4"/>
        <w:spacing w:line="440" w:lineRule="exact"/>
        <w:ind w:firstLine="482" w:firstLineChars="200"/>
        <w:jc w:val="left"/>
        <w:rPr>
          <w:rFonts w:cs="宋体"/>
          <w:color w:val="000000"/>
          <w:sz w:val="24"/>
          <w:szCs w:val="24"/>
          <w:highlight w:val="none"/>
        </w:rPr>
      </w:pPr>
      <w:bookmarkStart w:id="210" w:name="_Toc522293512"/>
      <w:bookmarkStart w:id="211" w:name="_Toc24350"/>
      <w:bookmarkStart w:id="212" w:name="_Toc24411"/>
      <w:bookmarkStart w:id="213" w:name="_Toc4343"/>
      <w:bookmarkStart w:id="214" w:name="_Toc21579"/>
      <w:r>
        <w:rPr>
          <w:rFonts w:hint="eastAsia" w:cs="宋体"/>
          <w:color w:val="000000"/>
          <w:sz w:val="24"/>
          <w:szCs w:val="24"/>
          <w:highlight w:val="none"/>
        </w:rPr>
        <w:t>7. 合同授予</w:t>
      </w:r>
      <w:bookmarkEnd w:id="210"/>
      <w:bookmarkEnd w:id="211"/>
      <w:bookmarkEnd w:id="212"/>
      <w:bookmarkEnd w:id="213"/>
      <w:bookmarkEnd w:id="214"/>
    </w:p>
    <w:p>
      <w:pPr>
        <w:pStyle w:val="5"/>
        <w:keepNext w:val="0"/>
        <w:keepLines w:val="0"/>
        <w:spacing w:after="0" w:line="440" w:lineRule="exact"/>
        <w:ind w:firstLine="482" w:firstLineChars="200"/>
        <w:rPr>
          <w:rFonts w:cs="宋体"/>
          <w:color w:val="000000"/>
          <w:highlight w:val="none"/>
        </w:rPr>
      </w:pPr>
      <w:bookmarkStart w:id="215" w:name="_Toc18603073"/>
      <w:bookmarkStart w:id="216" w:name="_Toc7730"/>
      <w:bookmarkStart w:id="217" w:name="_Toc29897"/>
      <w:bookmarkStart w:id="218" w:name="_Toc28562"/>
      <w:r>
        <w:rPr>
          <w:rFonts w:hint="eastAsia" w:cs="宋体"/>
          <w:color w:val="000000"/>
          <w:highlight w:val="none"/>
        </w:rPr>
        <w:t>7.1</w:t>
      </w:r>
      <w:bookmarkEnd w:id="215"/>
      <w:bookmarkEnd w:id="216"/>
      <w:bookmarkEnd w:id="217"/>
      <w:bookmarkEnd w:id="218"/>
      <w:r>
        <w:rPr>
          <w:rFonts w:hint="eastAsia" w:cs="宋体"/>
          <w:color w:val="000000"/>
          <w:highlight w:val="none"/>
        </w:rPr>
        <w:t>评标结果公告</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7.1.1 评标结果经审批后在宜昌交通旅游产业发展集团有限公司官网、湖北宜昌交运集团股份有限公司官网公告3个工作日。</w:t>
      </w:r>
    </w:p>
    <w:p>
      <w:pPr>
        <w:pStyle w:val="5"/>
        <w:keepNext w:val="0"/>
        <w:keepLines w:val="0"/>
        <w:spacing w:after="0" w:line="440" w:lineRule="exact"/>
        <w:ind w:firstLine="480" w:firstLineChars="200"/>
        <w:rPr>
          <w:rFonts w:cs="宋体"/>
          <w:b w:val="0"/>
          <w:bCs w:val="0"/>
          <w:color w:val="000000"/>
          <w:highlight w:val="none"/>
        </w:rPr>
      </w:pPr>
      <w:r>
        <w:rPr>
          <w:rFonts w:hint="eastAsia" w:cs="宋体"/>
          <w:b w:val="0"/>
          <w:bCs w:val="0"/>
          <w:color w:val="000000"/>
          <w:highlight w:val="none"/>
        </w:rPr>
        <w:t xml:space="preserve">7.1.2 </w:t>
      </w:r>
      <w:bookmarkStart w:id="219" w:name="_Toc18603074"/>
      <w:bookmarkStart w:id="220" w:name="_Toc5279"/>
      <w:bookmarkStart w:id="221" w:name="_Toc21029"/>
      <w:bookmarkStart w:id="222" w:name="_Toc17159"/>
      <w:r>
        <w:rPr>
          <w:rFonts w:hint="eastAsia" w:cs="宋体"/>
          <w:b w:val="0"/>
          <w:bCs w:val="0"/>
          <w:color w:val="000000"/>
          <w:highlight w:val="none"/>
        </w:rPr>
        <w:t>投标人或者其他利害关系人对结果有异议的,应在公告期内以书面形式向招标人提出, 招标人将自收到异议之日起 3 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bookmarkEnd w:id="219"/>
    <w:bookmarkEnd w:id="220"/>
    <w:bookmarkEnd w:id="221"/>
    <w:bookmarkEnd w:id="222"/>
    <w:p>
      <w:pPr>
        <w:pStyle w:val="5"/>
        <w:keepNext w:val="0"/>
        <w:keepLines w:val="0"/>
        <w:spacing w:after="0" w:line="440" w:lineRule="exact"/>
        <w:ind w:firstLine="482" w:firstLineChars="200"/>
        <w:rPr>
          <w:rFonts w:cs="宋体"/>
          <w:color w:val="000000"/>
          <w:highlight w:val="none"/>
        </w:rPr>
      </w:pPr>
      <w:bookmarkStart w:id="223" w:name="_Toc18603075"/>
      <w:bookmarkStart w:id="224" w:name="_Toc12013"/>
      <w:bookmarkStart w:id="225" w:name="_Toc26564"/>
      <w:bookmarkStart w:id="226" w:name="_Toc8891"/>
      <w:r>
        <w:rPr>
          <w:rFonts w:hint="eastAsia" w:cs="宋体"/>
          <w:color w:val="000000"/>
          <w:highlight w:val="none"/>
        </w:rPr>
        <w:t>7.2履约能力的审查（如有）</w:t>
      </w:r>
      <w:bookmarkEnd w:id="223"/>
      <w:bookmarkEnd w:id="224"/>
      <w:bookmarkEnd w:id="225"/>
      <w:bookmarkEnd w:id="226"/>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5"/>
        <w:keepNext w:val="0"/>
        <w:keepLines w:val="0"/>
        <w:spacing w:after="0" w:line="440" w:lineRule="exact"/>
        <w:ind w:firstLine="482" w:firstLineChars="200"/>
        <w:rPr>
          <w:rFonts w:cs="宋体"/>
          <w:color w:val="000000"/>
          <w:highlight w:val="none"/>
        </w:rPr>
      </w:pPr>
      <w:bookmarkStart w:id="227" w:name="_Toc18603077"/>
      <w:bookmarkStart w:id="228" w:name="_Toc801"/>
      <w:bookmarkStart w:id="229" w:name="_Toc7033"/>
      <w:bookmarkStart w:id="230" w:name="_Toc22157"/>
      <w:r>
        <w:rPr>
          <w:rFonts w:hint="eastAsia" w:cs="宋体"/>
          <w:color w:val="000000"/>
          <w:highlight w:val="none"/>
        </w:rPr>
        <w:t>7.3 履约保证金</w:t>
      </w:r>
      <w:bookmarkEnd w:id="227"/>
      <w:bookmarkEnd w:id="228"/>
      <w:bookmarkEnd w:id="229"/>
      <w:bookmarkEnd w:id="230"/>
    </w:p>
    <w:p>
      <w:pPr>
        <w:pStyle w:val="5"/>
        <w:keepNext w:val="0"/>
        <w:keepLines w:val="0"/>
        <w:spacing w:after="0" w:line="440" w:lineRule="exact"/>
        <w:ind w:firstLine="480" w:firstLineChars="200"/>
        <w:rPr>
          <w:rFonts w:cs="宋体"/>
          <w:b w:val="0"/>
          <w:bCs w:val="0"/>
          <w:highlight w:val="none"/>
        </w:rPr>
      </w:pPr>
      <w:bookmarkStart w:id="231" w:name="_Toc18603078"/>
      <w:bookmarkStart w:id="232" w:name="_Toc4566"/>
      <w:bookmarkStart w:id="233" w:name="_Toc12216"/>
      <w:bookmarkStart w:id="234" w:name="_Toc11741"/>
      <w:r>
        <w:rPr>
          <w:rFonts w:hint="eastAsia" w:cs="宋体"/>
          <w:b w:val="0"/>
          <w:bCs w:val="0"/>
          <w:highlight w:val="none"/>
        </w:rPr>
        <w:t>7.3.1中标人在与招标人签订保洁服务合同前，应向</w:t>
      </w:r>
      <w:r>
        <w:rPr>
          <w:rFonts w:hint="eastAsia" w:cs="宋体"/>
          <w:bCs w:val="0"/>
          <w:highlight w:val="none"/>
        </w:rPr>
        <w:t>招标人缴纳50000元的</w:t>
      </w:r>
      <w:r>
        <w:rPr>
          <w:rFonts w:hint="eastAsia" w:cs="宋体"/>
          <w:highlight w:val="none"/>
        </w:rPr>
        <w:t>履约</w:t>
      </w:r>
      <w:r>
        <w:rPr>
          <w:rFonts w:hint="eastAsia" w:cs="宋体"/>
          <w:bCs w:val="0"/>
          <w:highlight w:val="none"/>
        </w:rPr>
        <w:t>保证金</w:t>
      </w:r>
      <w:r>
        <w:rPr>
          <w:rFonts w:hint="eastAsia" w:cs="宋体"/>
          <w:b w:val="0"/>
          <w:bCs w:val="0"/>
          <w:highlight w:val="none"/>
        </w:rPr>
        <w:t>；</w:t>
      </w:r>
    </w:p>
    <w:p>
      <w:pPr>
        <w:pStyle w:val="5"/>
        <w:keepNext w:val="0"/>
        <w:keepLines w:val="0"/>
        <w:spacing w:after="0" w:line="440" w:lineRule="exact"/>
        <w:ind w:firstLine="480" w:firstLineChars="200"/>
        <w:rPr>
          <w:rFonts w:cs="宋体"/>
          <w:b w:val="0"/>
          <w:bCs w:val="0"/>
          <w:highlight w:val="none"/>
        </w:rPr>
      </w:pPr>
      <w:r>
        <w:rPr>
          <w:rFonts w:hint="eastAsia" w:cs="宋体"/>
          <w:b w:val="0"/>
          <w:bCs w:val="0"/>
          <w:highlight w:val="none"/>
        </w:rPr>
        <w:t>7.3.2中标人不履行与招标人订立的合同的，给招标人造成损失的，应予以赔偿。履约保证金不予退还。</w:t>
      </w:r>
    </w:p>
    <w:p>
      <w:pPr>
        <w:pStyle w:val="5"/>
        <w:keepNext w:val="0"/>
        <w:keepLines w:val="0"/>
        <w:spacing w:after="0" w:line="440" w:lineRule="exact"/>
        <w:ind w:firstLine="482" w:firstLineChars="200"/>
        <w:rPr>
          <w:rFonts w:cs="宋体"/>
          <w:color w:val="000000"/>
          <w:highlight w:val="none"/>
        </w:rPr>
      </w:pPr>
      <w:r>
        <w:rPr>
          <w:rFonts w:hint="eastAsia" w:cs="宋体"/>
          <w:color w:val="000000"/>
          <w:highlight w:val="none"/>
        </w:rPr>
        <w:t>7.4签订合同</w:t>
      </w:r>
      <w:bookmarkEnd w:id="231"/>
      <w:bookmarkEnd w:id="232"/>
      <w:bookmarkEnd w:id="233"/>
      <w:bookmarkEnd w:id="234"/>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 </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7.4.2 发出中标通知书后，因招标人无正当理由拒签合同给中标人造成损失的，还应当赔偿损失。</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7.4.3 签约合同价的确定原则如下：</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开标时投标函中大写投标总价应为签约合同价。按照第三章“评标办法”的规定，如投标报价有算术错误的，修正的价格经投标人书面确认后，以修正后的投标总价为签约合同价。</w:t>
      </w:r>
    </w:p>
    <w:p>
      <w:pPr>
        <w:pStyle w:val="4"/>
        <w:spacing w:line="440" w:lineRule="exact"/>
        <w:ind w:firstLine="482" w:firstLineChars="200"/>
        <w:jc w:val="left"/>
        <w:rPr>
          <w:rFonts w:cs="宋体"/>
          <w:color w:val="000000"/>
          <w:sz w:val="24"/>
          <w:szCs w:val="24"/>
          <w:highlight w:val="none"/>
        </w:rPr>
      </w:pPr>
      <w:bookmarkStart w:id="235" w:name="_Toc20316"/>
      <w:bookmarkStart w:id="236" w:name="_Toc11052"/>
      <w:bookmarkStart w:id="237" w:name="_Toc522293513"/>
      <w:bookmarkStart w:id="238" w:name="_Toc17768"/>
      <w:bookmarkStart w:id="239" w:name="_Toc22682"/>
      <w:r>
        <w:rPr>
          <w:rFonts w:hint="eastAsia" w:cs="宋体"/>
          <w:color w:val="000000"/>
          <w:sz w:val="24"/>
          <w:szCs w:val="24"/>
          <w:highlight w:val="none"/>
        </w:rPr>
        <w:t>8.重新招标、不再招标和终止招标</w:t>
      </w:r>
      <w:bookmarkEnd w:id="235"/>
      <w:bookmarkEnd w:id="236"/>
      <w:bookmarkEnd w:id="237"/>
      <w:bookmarkEnd w:id="238"/>
      <w:bookmarkEnd w:id="239"/>
    </w:p>
    <w:p>
      <w:pPr>
        <w:pStyle w:val="5"/>
        <w:keepNext w:val="0"/>
        <w:keepLines w:val="0"/>
        <w:spacing w:after="0" w:line="440" w:lineRule="exact"/>
        <w:ind w:firstLine="482" w:firstLineChars="200"/>
        <w:rPr>
          <w:rFonts w:cs="宋体"/>
          <w:color w:val="000000"/>
          <w:highlight w:val="none"/>
        </w:rPr>
      </w:pPr>
      <w:bookmarkStart w:id="240" w:name="_Toc18603080"/>
      <w:bookmarkStart w:id="241" w:name="_Toc22684"/>
      <w:bookmarkStart w:id="242" w:name="_Toc18308"/>
      <w:bookmarkStart w:id="243" w:name="_Toc25226"/>
      <w:r>
        <w:rPr>
          <w:rFonts w:hint="eastAsia" w:cs="宋体"/>
          <w:color w:val="000000"/>
          <w:highlight w:val="none"/>
        </w:rPr>
        <w:t>8.1 重新招标</w:t>
      </w:r>
      <w:bookmarkEnd w:id="240"/>
      <w:bookmarkEnd w:id="241"/>
      <w:bookmarkEnd w:id="242"/>
      <w:bookmarkEnd w:id="243"/>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8.1.1有下列情形之一的，招标人将重新招标：</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（1）投标截止时间止，投标人少于3个的；</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（2）经评标委员会评审后否决所有投标的；</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（3）除非已经产生中标候选人，在投标有效期内同意延长投标有效期的投标人少于三个的；</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（4）第一中标候选人或所有中标候选人均未与招标人签订合同的；</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（5）法律、法规规定的其他情形。</w:t>
      </w:r>
    </w:p>
    <w:p>
      <w:pPr>
        <w:spacing w:line="440" w:lineRule="exact"/>
        <w:ind w:firstLine="480" w:firstLineChars="200"/>
        <w:jc w:val="left"/>
        <w:rPr>
          <w:rFonts w:ascii="宋体" w:hAnsi="宋体" w:cs="宋体"/>
          <w:color w:val="000000"/>
          <w:sz w:val="24"/>
          <w:szCs w:val="24"/>
          <w:highlight w:val="none"/>
        </w:rPr>
      </w:pPr>
      <w:r>
        <w:rPr>
          <w:rFonts w:ascii="宋体" w:hAnsi="宋体" w:cs="宋体"/>
          <w:color w:val="000000"/>
          <w:sz w:val="24"/>
          <w:szCs w:val="24"/>
          <w:highlight w:val="none"/>
        </w:rPr>
        <w:t>8.1.2</w:t>
      </w:r>
      <w:r>
        <w:rPr>
          <w:rFonts w:hint="eastAsia" w:ascii="宋体" w:hAnsi="宋体" w:cs="宋体"/>
          <w:color w:val="000000"/>
          <w:sz w:val="24"/>
          <w:szCs w:val="24"/>
          <w:highlight w:val="none"/>
        </w:rPr>
        <w:t xml:space="preserve"> 重新招标后投标人仍少于3个或者所有投标被否决的，</w:t>
      </w:r>
      <w:r>
        <w:rPr>
          <w:rFonts w:ascii="宋体" w:hAnsi="宋体" w:cs="宋体"/>
          <w:color w:val="000000"/>
          <w:sz w:val="24"/>
          <w:szCs w:val="24"/>
          <w:highlight w:val="none"/>
        </w:rPr>
        <w:t>招标人将采用竞争性谈判的方式采购。</w:t>
      </w:r>
    </w:p>
    <w:p>
      <w:pPr>
        <w:pStyle w:val="5"/>
        <w:keepNext w:val="0"/>
        <w:keepLines w:val="0"/>
        <w:spacing w:after="0" w:line="440" w:lineRule="exact"/>
        <w:ind w:firstLine="482" w:firstLineChars="200"/>
        <w:rPr>
          <w:rFonts w:cs="宋体"/>
          <w:highlight w:val="none"/>
        </w:rPr>
      </w:pPr>
      <w:bookmarkStart w:id="244" w:name="_Toc18603081"/>
      <w:bookmarkStart w:id="245" w:name="_Toc2197"/>
      <w:bookmarkStart w:id="246" w:name="_Toc2139"/>
      <w:bookmarkStart w:id="247" w:name="_Toc16627"/>
      <w:r>
        <w:rPr>
          <w:rFonts w:hint="eastAsia" w:cs="宋体"/>
          <w:color w:val="000000"/>
          <w:highlight w:val="none"/>
        </w:rPr>
        <w:t>8</w:t>
      </w:r>
      <w:r>
        <w:rPr>
          <w:rFonts w:hint="eastAsia" w:cs="宋体"/>
          <w:highlight w:val="none"/>
        </w:rPr>
        <w:t xml:space="preserve">.2 </w:t>
      </w:r>
      <w:bookmarkEnd w:id="244"/>
      <w:bookmarkEnd w:id="245"/>
      <w:bookmarkEnd w:id="246"/>
      <w:bookmarkEnd w:id="247"/>
      <w:r>
        <w:rPr>
          <w:rFonts w:hint="eastAsia" w:cs="宋体"/>
          <w:highlight w:val="none"/>
        </w:rPr>
        <w:t>不再</w:t>
      </w:r>
      <w:r>
        <w:rPr>
          <w:rFonts w:cs="宋体"/>
          <w:highlight w:val="none"/>
        </w:rPr>
        <w:t>招标</w:t>
      </w:r>
    </w:p>
    <w:p>
      <w:pPr>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采用竞争性</w:t>
      </w:r>
      <w:r>
        <w:rPr>
          <w:rFonts w:ascii="宋体" w:hAnsi="宋体" w:cs="宋体"/>
          <w:sz w:val="24"/>
          <w:szCs w:val="24"/>
          <w:highlight w:val="none"/>
        </w:rPr>
        <w:t>谈判</w:t>
      </w:r>
      <w:r>
        <w:rPr>
          <w:rFonts w:hint="eastAsia" w:ascii="宋体" w:hAnsi="宋体" w:cs="宋体"/>
          <w:sz w:val="24"/>
          <w:szCs w:val="24"/>
          <w:highlight w:val="none"/>
        </w:rPr>
        <w:t>仍然</w:t>
      </w:r>
      <w:r>
        <w:rPr>
          <w:rFonts w:ascii="宋体" w:hAnsi="宋体" w:cs="宋体"/>
          <w:sz w:val="24"/>
          <w:szCs w:val="24"/>
          <w:highlight w:val="none"/>
        </w:rPr>
        <w:t>失败的</w:t>
      </w:r>
      <w:r>
        <w:rPr>
          <w:rFonts w:hint="eastAsia" w:ascii="宋体" w:hAnsi="宋体" w:cs="宋体"/>
          <w:sz w:val="24"/>
          <w:szCs w:val="24"/>
          <w:highlight w:val="none"/>
        </w:rPr>
        <w:t>，经领导批准后可不再进行招标。</w:t>
      </w:r>
    </w:p>
    <w:p>
      <w:pPr>
        <w:pStyle w:val="5"/>
        <w:keepNext w:val="0"/>
        <w:keepLines w:val="0"/>
        <w:spacing w:after="0" w:line="440" w:lineRule="exact"/>
        <w:ind w:firstLine="482" w:firstLineChars="200"/>
        <w:rPr>
          <w:rFonts w:cs="宋体"/>
          <w:color w:val="000000"/>
          <w:highlight w:val="none"/>
        </w:rPr>
      </w:pPr>
      <w:bookmarkStart w:id="248" w:name="_Toc18603082"/>
      <w:bookmarkStart w:id="249" w:name="_Toc8687"/>
      <w:bookmarkStart w:id="250" w:name="_Toc32326"/>
      <w:bookmarkStart w:id="251" w:name="_Toc8440"/>
      <w:r>
        <w:rPr>
          <w:rFonts w:hint="eastAsia" w:cs="宋体"/>
          <w:color w:val="000000"/>
          <w:highlight w:val="none"/>
        </w:rPr>
        <w:t>8.3 终止招标</w:t>
      </w:r>
      <w:bookmarkEnd w:id="248"/>
      <w:bookmarkEnd w:id="249"/>
      <w:bookmarkEnd w:id="250"/>
      <w:bookmarkEnd w:id="251"/>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因不可抗力等原因，招标人终止招标的，将及时发布公告，或者以书面形式通知已经获取招标文件的潜在投标人。</w:t>
      </w:r>
    </w:p>
    <w:p>
      <w:pPr>
        <w:pStyle w:val="4"/>
        <w:spacing w:line="440" w:lineRule="exact"/>
        <w:ind w:firstLine="482" w:firstLineChars="200"/>
        <w:jc w:val="left"/>
        <w:rPr>
          <w:rFonts w:cs="宋体"/>
          <w:color w:val="000000"/>
          <w:sz w:val="24"/>
          <w:szCs w:val="24"/>
          <w:highlight w:val="none"/>
        </w:rPr>
      </w:pPr>
      <w:bookmarkStart w:id="252" w:name="_Toc522293514"/>
      <w:bookmarkStart w:id="253" w:name="_Toc12079"/>
      <w:bookmarkStart w:id="254" w:name="_Toc29886"/>
      <w:bookmarkStart w:id="255" w:name="_Toc2405"/>
      <w:bookmarkStart w:id="256" w:name="_Toc32605"/>
      <w:r>
        <w:rPr>
          <w:rFonts w:hint="eastAsia" w:cs="宋体"/>
          <w:color w:val="000000"/>
          <w:sz w:val="24"/>
          <w:szCs w:val="24"/>
          <w:highlight w:val="none"/>
        </w:rPr>
        <w:t>9. 纪律和监督</w:t>
      </w:r>
      <w:bookmarkEnd w:id="252"/>
      <w:bookmarkEnd w:id="253"/>
      <w:bookmarkEnd w:id="254"/>
      <w:bookmarkEnd w:id="255"/>
      <w:bookmarkEnd w:id="256"/>
    </w:p>
    <w:p>
      <w:pPr>
        <w:pStyle w:val="5"/>
        <w:keepNext w:val="0"/>
        <w:keepLines w:val="0"/>
        <w:spacing w:after="0" w:line="440" w:lineRule="exact"/>
        <w:ind w:firstLine="482" w:firstLineChars="200"/>
        <w:rPr>
          <w:rFonts w:cs="宋体"/>
          <w:color w:val="000000"/>
          <w:highlight w:val="none"/>
        </w:rPr>
      </w:pPr>
      <w:bookmarkStart w:id="257" w:name="_Toc18603084"/>
      <w:bookmarkStart w:id="258" w:name="_Toc4013"/>
      <w:bookmarkStart w:id="259" w:name="_Toc7894"/>
      <w:bookmarkStart w:id="260" w:name="_Toc22592"/>
      <w:r>
        <w:rPr>
          <w:rFonts w:hint="eastAsia" w:cs="宋体"/>
          <w:color w:val="000000"/>
          <w:highlight w:val="none"/>
        </w:rPr>
        <w:t>9.1 对招标人的纪律要求</w:t>
      </w:r>
      <w:bookmarkEnd w:id="257"/>
      <w:bookmarkEnd w:id="258"/>
      <w:bookmarkEnd w:id="259"/>
      <w:bookmarkEnd w:id="260"/>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招标人不得泄漏招标投标活动中应当保密的情况和资料，不得与投标人串通损害国家利益、社会公共利益或者他人合法权益。</w:t>
      </w:r>
    </w:p>
    <w:p>
      <w:pPr>
        <w:pStyle w:val="5"/>
        <w:keepNext w:val="0"/>
        <w:keepLines w:val="0"/>
        <w:spacing w:after="0" w:line="440" w:lineRule="exact"/>
        <w:ind w:firstLine="482" w:firstLineChars="200"/>
        <w:rPr>
          <w:rFonts w:cs="宋体"/>
          <w:color w:val="000000"/>
          <w:highlight w:val="none"/>
        </w:rPr>
      </w:pPr>
      <w:bookmarkStart w:id="261" w:name="_Toc18603085"/>
      <w:bookmarkStart w:id="262" w:name="_Toc29942"/>
      <w:bookmarkStart w:id="263" w:name="_Toc457"/>
      <w:bookmarkStart w:id="264" w:name="_Toc25365"/>
      <w:r>
        <w:rPr>
          <w:rFonts w:hint="eastAsia" w:cs="宋体"/>
          <w:color w:val="000000"/>
          <w:highlight w:val="none"/>
        </w:rPr>
        <w:t>9.2 对投标人的纪律要求</w:t>
      </w:r>
      <w:bookmarkEnd w:id="261"/>
      <w:bookmarkEnd w:id="262"/>
      <w:bookmarkEnd w:id="263"/>
      <w:bookmarkEnd w:id="264"/>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spacing w:after="0" w:line="440" w:lineRule="exact"/>
        <w:ind w:firstLine="482" w:firstLineChars="200"/>
        <w:rPr>
          <w:rFonts w:cs="宋体"/>
          <w:color w:val="000000"/>
          <w:highlight w:val="none"/>
        </w:rPr>
      </w:pPr>
      <w:bookmarkStart w:id="265" w:name="_Toc18603086"/>
      <w:bookmarkStart w:id="266" w:name="_Toc4685"/>
      <w:bookmarkStart w:id="267" w:name="_Toc22543"/>
      <w:bookmarkStart w:id="268" w:name="_Toc27915"/>
      <w:r>
        <w:rPr>
          <w:rFonts w:hint="eastAsia" w:cs="宋体"/>
          <w:color w:val="000000"/>
          <w:highlight w:val="none"/>
        </w:rPr>
        <w:t>9.3 对评标委员会成员的纪律要求</w:t>
      </w:r>
      <w:bookmarkEnd w:id="265"/>
      <w:bookmarkEnd w:id="266"/>
      <w:bookmarkEnd w:id="267"/>
      <w:bookmarkEnd w:id="268"/>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5"/>
        <w:keepNext w:val="0"/>
        <w:keepLines w:val="0"/>
        <w:spacing w:after="0" w:line="440" w:lineRule="exact"/>
        <w:ind w:firstLine="482" w:firstLineChars="200"/>
        <w:rPr>
          <w:rFonts w:cs="宋体"/>
          <w:color w:val="000000"/>
          <w:highlight w:val="none"/>
        </w:rPr>
      </w:pPr>
      <w:bookmarkStart w:id="269" w:name="_Toc18603087"/>
      <w:bookmarkStart w:id="270" w:name="_Toc17508"/>
      <w:bookmarkStart w:id="271" w:name="_Toc23823"/>
      <w:bookmarkStart w:id="272" w:name="_Toc20214"/>
      <w:r>
        <w:rPr>
          <w:rFonts w:hint="eastAsia" w:cs="宋体"/>
          <w:color w:val="000000"/>
          <w:highlight w:val="none"/>
        </w:rPr>
        <w:t>9.4 对与评标活动有关的工作人员的纪律要求</w:t>
      </w:r>
      <w:bookmarkEnd w:id="269"/>
      <w:bookmarkEnd w:id="270"/>
      <w:bookmarkEnd w:id="271"/>
      <w:bookmarkEnd w:id="272"/>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keepNext w:val="0"/>
        <w:keepLines w:val="0"/>
        <w:spacing w:after="0" w:line="440" w:lineRule="exact"/>
        <w:ind w:firstLine="482" w:firstLineChars="200"/>
        <w:rPr>
          <w:rFonts w:cs="宋体"/>
          <w:color w:val="000000"/>
          <w:highlight w:val="none"/>
        </w:rPr>
      </w:pPr>
      <w:bookmarkStart w:id="273" w:name="_Toc18603088"/>
      <w:bookmarkStart w:id="274" w:name="_Toc31413"/>
      <w:bookmarkStart w:id="275" w:name="_Toc26378"/>
      <w:bookmarkStart w:id="276" w:name="_Toc27709"/>
      <w:r>
        <w:rPr>
          <w:rFonts w:hint="eastAsia" w:cs="宋体"/>
          <w:color w:val="000000"/>
          <w:highlight w:val="none"/>
        </w:rPr>
        <w:t>9.5 投诉</w:t>
      </w:r>
      <w:bookmarkEnd w:id="273"/>
      <w:bookmarkEnd w:id="274"/>
      <w:bookmarkEnd w:id="275"/>
      <w:bookmarkEnd w:id="276"/>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本次招标投标活动及其相关当事人应当接受监督部门的监督。</w:t>
      </w:r>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4"/>
        <w:spacing w:line="440" w:lineRule="exact"/>
        <w:ind w:firstLine="482" w:firstLineChars="200"/>
        <w:jc w:val="left"/>
        <w:rPr>
          <w:rFonts w:cs="宋体"/>
          <w:color w:val="000000"/>
          <w:sz w:val="24"/>
          <w:szCs w:val="24"/>
          <w:highlight w:val="none"/>
        </w:rPr>
      </w:pPr>
      <w:bookmarkStart w:id="277" w:name="_Toc522293515"/>
      <w:bookmarkStart w:id="278" w:name="_Toc10190"/>
      <w:bookmarkStart w:id="279" w:name="_Toc28978"/>
      <w:bookmarkStart w:id="280" w:name="_Toc11477"/>
      <w:bookmarkStart w:id="281" w:name="_Toc17412"/>
      <w:r>
        <w:rPr>
          <w:rFonts w:hint="eastAsia" w:cs="宋体"/>
          <w:color w:val="000000"/>
          <w:sz w:val="24"/>
          <w:szCs w:val="24"/>
          <w:highlight w:val="none"/>
        </w:rPr>
        <w:t>10. 需要补充的其他内容</w:t>
      </w:r>
      <w:bookmarkEnd w:id="277"/>
      <w:bookmarkEnd w:id="278"/>
      <w:bookmarkEnd w:id="279"/>
      <w:bookmarkEnd w:id="280"/>
      <w:bookmarkEnd w:id="281"/>
    </w:p>
    <w:p>
      <w:pPr>
        <w:pStyle w:val="5"/>
        <w:keepNext w:val="0"/>
        <w:keepLines w:val="0"/>
        <w:spacing w:after="0" w:line="440" w:lineRule="exact"/>
        <w:ind w:firstLine="482" w:firstLineChars="200"/>
        <w:rPr>
          <w:rFonts w:cs="宋体"/>
          <w:color w:val="000000"/>
          <w:highlight w:val="none"/>
        </w:rPr>
      </w:pPr>
      <w:bookmarkStart w:id="282" w:name="_Toc18603090"/>
      <w:bookmarkStart w:id="283" w:name="_Toc994"/>
      <w:bookmarkStart w:id="284" w:name="_Toc25646"/>
      <w:bookmarkStart w:id="285" w:name="_Toc970"/>
      <w:r>
        <w:rPr>
          <w:rFonts w:hint="eastAsia" w:cs="宋体"/>
          <w:color w:val="000000"/>
          <w:highlight w:val="none"/>
        </w:rPr>
        <w:t>10.1 多标段投标</w:t>
      </w:r>
      <w:bookmarkEnd w:id="282"/>
      <w:bookmarkEnd w:id="283"/>
      <w:bookmarkEnd w:id="284"/>
      <w:bookmarkEnd w:id="285"/>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无</w:t>
      </w:r>
    </w:p>
    <w:p>
      <w:pPr>
        <w:pStyle w:val="5"/>
        <w:keepNext w:val="0"/>
        <w:keepLines w:val="0"/>
        <w:spacing w:after="0" w:line="440" w:lineRule="exact"/>
        <w:ind w:firstLine="482" w:firstLineChars="200"/>
        <w:rPr>
          <w:rFonts w:cs="宋体"/>
          <w:color w:val="000000"/>
          <w:highlight w:val="none"/>
        </w:rPr>
      </w:pPr>
      <w:bookmarkStart w:id="286" w:name="_Toc18603091"/>
      <w:bookmarkStart w:id="287" w:name="_Toc25101"/>
      <w:bookmarkStart w:id="288" w:name="_Toc18466"/>
      <w:bookmarkStart w:id="289" w:name="_Toc11610"/>
      <w:r>
        <w:rPr>
          <w:rFonts w:hint="eastAsia" w:cs="宋体"/>
          <w:color w:val="000000"/>
          <w:highlight w:val="none"/>
        </w:rPr>
        <w:t>10.2 知识产权</w:t>
      </w:r>
      <w:bookmarkEnd w:id="286"/>
      <w:bookmarkEnd w:id="287"/>
      <w:bookmarkEnd w:id="288"/>
      <w:bookmarkEnd w:id="289"/>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有关知识产权的规定：见投标人须知前附表。</w:t>
      </w:r>
    </w:p>
    <w:p>
      <w:pPr>
        <w:pStyle w:val="5"/>
        <w:keepNext w:val="0"/>
        <w:keepLines w:val="0"/>
        <w:spacing w:after="0" w:line="440" w:lineRule="exact"/>
        <w:ind w:firstLine="482" w:firstLineChars="200"/>
        <w:rPr>
          <w:rFonts w:cs="宋体"/>
          <w:color w:val="000000"/>
          <w:highlight w:val="none"/>
        </w:rPr>
      </w:pPr>
      <w:bookmarkStart w:id="290" w:name="_Toc18603092"/>
      <w:bookmarkStart w:id="291" w:name="_Toc23238"/>
      <w:bookmarkStart w:id="292" w:name="_Toc20925"/>
      <w:bookmarkStart w:id="293" w:name="_Toc31602"/>
      <w:r>
        <w:rPr>
          <w:rFonts w:hint="eastAsia" w:cs="宋体"/>
          <w:color w:val="000000"/>
          <w:highlight w:val="none"/>
        </w:rPr>
        <w:t>10.3解释权</w:t>
      </w:r>
      <w:bookmarkEnd w:id="290"/>
      <w:bookmarkEnd w:id="291"/>
      <w:bookmarkEnd w:id="292"/>
      <w:bookmarkEnd w:id="293"/>
    </w:p>
    <w:p>
      <w:pPr>
        <w:spacing w:line="44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有关招标文件的解释权：见投标人须知前附表。</w:t>
      </w:r>
    </w:p>
    <w:p>
      <w:pPr>
        <w:pStyle w:val="5"/>
        <w:keepNext w:val="0"/>
        <w:keepLines w:val="0"/>
        <w:spacing w:after="0" w:line="440" w:lineRule="exact"/>
        <w:ind w:firstLine="482" w:firstLineChars="200"/>
        <w:rPr>
          <w:rFonts w:cs="宋体"/>
          <w:color w:val="000000"/>
          <w:highlight w:val="none"/>
        </w:rPr>
      </w:pPr>
      <w:bookmarkStart w:id="294" w:name="_Toc18603093"/>
      <w:bookmarkStart w:id="295" w:name="_Toc29982"/>
      <w:bookmarkStart w:id="296" w:name="_Toc23099"/>
      <w:bookmarkStart w:id="297" w:name="_Toc24704"/>
      <w:r>
        <w:rPr>
          <w:rFonts w:hint="eastAsia" w:cs="宋体"/>
          <w:color w:val="000000"/>
          <w:highlight w:val="none"/>
        </w:rPr>
        <w:t>10.4 招标人补充的其他内容</w:t>
      </w:r>
      <w:bookmarkEnd w:id="294"/>
      <w:bookmarkEnd w:id="295"/>
      <w:bookmarkEnd w:id="296"/>
      <w:bookmarkEnd w:id="297"/>
    </w:p>
    <w:p>
      <w:pPr>
        <w:pStyle w:val="5"/>
        <w:keepNext w:val="0"/>
        <w:keepLines w:val="0"/>
        <w:spacing w:after="0" w:line="440" w:lineRule="exact"/>
        <w:ind w:firstLine="480" w:firstLineChars="200"/>
        <w:rPr>
          <w:rFonts w:cs="宋体"/>
          <w:color w:val="000000"/>
          <w:highlight w:val="none"/>
        </w:rPr>
      </w:pPr>
      <w:r>
        <w:rPr>
          <w:rFonts w:hint="eastAsia" w:cs="宋体"/>
          <w:b w:val="0"/>
          <w:bCs w:val="0"/>
          <w:color w:val="000000"/>
          <w:highlight w:val="none"/>
        </w:rPr>
        <w:br w:type="page"/>
      </w:r>
      <w:bookmarkStart w:id="298" w:name="_Toc29761"/>
      <w:bookmarkStart w:id="299" w:name="_Toc522293516"/>
      <w:bookmarkStart w:id="300" w:name="_Toc14444"/>
      <w:bookmarkStart w:id="301" w:name="_Toc18603094"/>
      <w:bookmarkStart w:id="302" w:name="_Toc7677"/>
      <w:bookmarkStart w:id="303" w:name="_Toc16322"/>
      <w:r>
        <w:rPr>
          <w:rFonts w:hint="eastAsia" w:cs="宋体"/>
          <w:color w:val="000000"/>
          <w:highlight w:val="none"/>
        </w:rPr>
        <w:t>附表一：招标结果通知书</w:t>
      </w:r>
      <w:bookmarkEnd w:id="298"/>
      <w:bookmarkEnd w:id="299"/>
      <w:bookmarkEnd w:id="300"/>
      <w:bookmarkEnd w:id="301"/>
      <w:bookmarkEnd w:id="302"/>
      <w:bookmarkEnd w:id="303"/>
    </w:p>
    <w:p>
      <w:pPr>
        <w:rPr>
          <w:rFonts w:ascii="宋体" w:hAnsi="宋体" w:cs="宋体"/>
          <w:b/>
          <w:color w:val="000000"/>
          <w:sz w:val="24"/>
          <w:szCs w:val="24"/>
          <w:highlight w:val="none"/>
        </w:rPr>
      </w:pPr>
    </w:p>
    <w:p>
      <w:pPr>
        <w:rPr>
          <w:rFonts w:ascii="宋体" w:hAnsi="宋体" w:cs="宋体"/>
          <w:color w:val="000000"/>
          <w:sz w:val="24"/>
          <w:szCs w:val="24"/>
          <w:highlight w:val="none"/>
        </w:rPr>
      </w:pPr>
      <w:r>
        <w:rPr>
          <w:rFonts w:hint="eastAsia" w:ascii="宋体" w:hAnsi="宋体" w:cs="宋体"/>
          <w:color w:val="000000"/>
          <w:sz w:val="24"/>
          <w:szCs w:val="24"/>
          <w:highlight w:val="none"/>
        </w:rPr>
        <w:t>_________________（未中标人名称）：</w:t>
      </w:r>
    </w:p>
    <w:p>
      <w:pPr>
        <w:rPr>
          <w:rFonts w:ascii="宋体" w:hAnsi="宋体" w:cs="宋体"/>
          <w:color w:val="000000"/>
          <w:sz w:val="24"/>
          <w:szCs w:val="24"/>
          <w:highlight w:val="none"/>
        </w:rPr>
      </w:pPr>
    </w:p>
    <w:p>
      <w:pPr>
        <w:spacing w:line="50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我方已接受（中标人名称）于（投标日期）所递交的 投标文件，确定（中标人名称）为中标人。</w:t>
      </w:r>
    </w:p>
    <w:p>
      <w:pPr>
        <w:spacing w:line="500" w:lineRule="exact"/>
        <w:ind w:firstLine="482"/>
        <w:rPr>
          <w:rFonts w:ascii="宋体" w:hAnsi="宋体" w:cs="宋体"/>
          <w:color w:val="000000"/>
          <w:sz w:val="24"/>
          <w:szCs w:val="24"/>
          <w:highlight w:val="none"/>
        </w:rPr>
      </w:pPr>
    </w:p>
    <w:p>
      <w:pPr>
        <w:spacing w:line="50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感谢你单位对我方工作的大力支持!</w:t>
      </w:r>
    </w:p>
    <w:p>
      <w:pPr>
        <w:spacing w:line="500" w:lineRule="exact"/>
        <w:ind w:firstLine="482"/>
        <w:rPr>
          <w:rFonts w:ascii="宋体" w:hAnsi="宋体" w:cs="宋体"/>
          <w:color w:val="000000"/>
          <w:highlight w:val="none"/>
        </w:rPr>
      </w:pPr>
    </w:p>
    <w:p>
      <w:pPr>
        <w:spacing w:line="500" w:lineRule="exact"/>
        <w:ind w:firstLine="482"/>
        <w:rPr>
          <w:rFonts w:ascii="宋体" w:hAnsi="宋体" w:cs="宋体"/>
          <w:color w:val="000000"/>
          <w:highlight w:val="none"/>
        </w:rPr>
      </w:pPr>
    </w:p>
    <w:p>
      <w:pPr>
        <w:spacing w:line="500" w:lineRule="exact"/>
        <w:ind w:firstLine="482"/>
        <w:rPr>
          <w:rFonts w:ascii="宋体" w:hAnsi="宋体" w:cs="宋体"/>
          <w:color w:val="000000"/>
          <w:highlight w:val="none"/>
        </w:rPr>
      </w:pPr>
    </w:p>
    <w:p>
      <w:pPr>
        <w:spacing w:line="500" w:lineRule="exact"/>
        <w:ind w:firstLine="482"/>
        <w:rPr>
          <w:rFonts w:ascii="宋体" w:hAnsi="宋体" w:cs="宋体"/>
          <w:color w:val="000000"/>
          <w:highlight w:val="none"/>
        </w:rPr>
      </w:pPr>
    </w:p>
    <w:p>
      <w:pPr>
        <w:spacing w:line="500" w:lineRule="exact"/>
        <w:ind w:firstLine="4200" w:firstLineChars="1750"/>
        <w:rPr>
          <w:rFonts w:ascii="宋体" w:hAnsi="宋体" w:cs="宋体"/>
          <w:color w:val="000000"/>
          <w:sz w:val="24"/>
          <w:szCs w:val="24"/>
          <w:highlight w:val="none"/>
        </w:rPr>
      </w:pPr>
      <w:r>
        <w:rPr>
          <w:rFonts w:hint="eastAsia" w:ascii="宋体" w:hAnsi="宋体" w:cs="宋体"/>
          <w:color w:val="000000"/>
          <w:sz w:val="24"/>
          <w:szCs w:val="24"/>
          <w:highlight w:val="none"/>
        </w:rPr>
        <w:t xml:space="preserve">招标机构：（盖单位章） </w:t>
      </w:r>
    </w:p>
    <w:p>
      <w:pPr>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年       月       日  </w:t>
      </w:r>
    </w:p>
    <w:p>
      <w:pPr>
        <w:rPr>
          <w:rFonts w:ascii="宋体" w:hAnsi="宋体" w:cs="宋体"/>
          <w:color w:val="000000"/>
          <w:highlight w:val="none"/>
        </w:rPr>
      </w:pPr>
    </w:p>
    <w:p>
      <w:pPr>
        <w:pStyle w:val="4"/>
        <w:rPr>
          <w:rFonts w:cs="宋体"/>
          <w:color w:val="000000"/>
          <w:highlight w:val="none"/>
        </w:rPr>
      </w:pPr>
      <w:r>
        <w:rPr>
          <w:rFonts w:hint="eastAsia" w:cs="宋体"/>
          <w:color w:val="000000"/>
          <w:highlight w:val="none"/>
        </w:rPr>
        <w:br w:type="page"/>
      </w:r>
      <w:bookmarkStart w:id="304" w:name="_Toc1366"/>
      <w:bookmarkStart w:id="305" w:name="_Toc7539"/>
      <w:bookmarkStart w:id="306" w:name="_Toc27481"/>
      <w:bookmarkStart w:id="307" w:name="_Toc18603095"/>
      <w:bookmarkStart w:id="308" w:name="_Toc15828"/>
      <w:bookmarkStart w:id="309" w:name="_Toc522293517"/>
      <w:r>
        <w:rPr>
          <w:rFonts w:hint="eastAsia" w:cs="宋体"/>
          <w:color w:val="000000"/>
          <w:highlight w:val="none"/>
        </w:rPr>
        <w:t>附表二：异议函</w:t>
      </w:r>
      <w:bookmarkEnd w:id="304"/>
      <w:bookmarkEnd w:id="305"/>
      <w:bookmarkEnd w:id="306"/>
      <w:bookmarkEnd w:id="307"/>
      <w:bookmarkEnd w:id="308"/>
      <w:bookmarkEnd w:id="309"/>
    </w:p>
    <w:p>
      <w:pPr>
        <w:spacing w:line="400" w:lineRule="exact"/>
        <w:ind w:firstLine="482"/>
        <w:jc w:val="center"/>
        <w:rPr>
          <w:rFonts w:ascii="宋体" w:hAnsi="宋体" w:cs="宋体"/>
          <w:b/>
          <w:color w:val="000000"/>
          <w:sz w:val="24"/>
          <w:szCs w:val="24"/>
          <w:highlight w:val="none"/>
        </w:rPr>
      </w:pPr>
      <w:r>
        <w:rPr>
          <w:rFonts w:hint="eastAsia" w:ascii="宋体" w:hAnsi="宋体" w:cs="宋体"/>
          <w:b/>
          <w:color w:val="000000"/>
          <w:sz w:val="24"/>
          <w:szCs w:val="24"/>
          <w:highlight w:val="none"/>
        </w:rPr>
        <w:t>异议函</w:t>
      </w:r>
    </w:p>
    <w:p>
      <w:pPr>
        <w:rPr>
          <w:rFonts w:ascii="宋体" w:hAnsi="宋体" w:cs="宋体"/>
          <w:color w:val="000000"/>
          <w:sz w:val="24"/>
          <w:szCs w:val="24"/>
          <w:highlight w:val="none"/>
        </w:rPr>
      </w:pPr>
    </w:p>
    <w:p>
      <w:pPr>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(招标机构名称)：</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我方已研究（看到）你方发出的 招标文件（或中标候选人公示），现对下列问题提出异议，请予以解释：</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w:t>
      </w:r>
    </w:p>
    <w:p>
      <w:pPr>
        <w:spacing w:line="500" w:lineRule="exact"/>
        <w:rPr>
          <w:rFonts w:ascii="宋体" w:hAnsi="宋体" w:cs="宋体"/>
          <w:color w:val="000000"/>
          <w:sz w:val="24"/>
          <w:szCs w:val="24"/>
          <w:highlight w:val="none"/>
        </w:rPr>
      </w:pPr>
    </w:p>
    <w:p>
      <w:pPr>
        <w:spacing w:line="500" w:lineRule="exact"/>
        <w:ind w:firstLine="3600" w:firstLineChars="1500"/>
        <w:rPr>
          <w:rFonts w:ascii="宋体" w:hAnsi="宋体" w:cs="宋体"/>
          <w:color w:val="000000"/>
          <w:sz w:val="24"/>
          <w:szCs w:val="24"/>
          <w:highlight w:val="none"/>
        </w:rPr>
      </w:pPr>
      <w:r>
        <w:rPr>
          <w:rFonts w:hint="eastAsia" w:ascii="宋体" w:hAnsi="宋体" w:cs="宋体"/>
          <w:color w:val="000000"/>
          <w:sz w:val="24"/>
          <w:szCs w:val="24"/>
          <w:highlight w:val="none"/>
        </w:rPr>
        <w:t>投标人或利害关系人：(盖单位章)</w:t>
      </w:r>
    </w:p>
    <w:p>
      <w:pPr>
        <w:spacing w:line="500" w:lineRule="exact"/>
        <w:ind w:firstLine="3600" w:firstLineChars="1500"/>
        <w:rPr>
          <w:rFonts w:ascii="宋体" w:hAnsi="宋体" w:cs="宋体"/>
          <w:color w:val="000000"/>
          <w:sz w:val="24"/>
          <w:szCs w:val="24"/>
          <w:highlight w:val="none"/>
        </w:rPr>
      </w:pPr>
      <w:r>
        <w:rPr>
          <w:rFonts w:hint="eastAsia" w:ascii="宋体" w:hAnsi="宋体" w:cs="宋体"/>
          <w:color w:val="000000"/>
          <w:sz w:val="24"/>
          <w:szCs w:val="24"/>
          <w:highlight w:val="none"/>
        </w:rPr>
        <w:t>法定代表人或其委托代理人：(签章)</w:t>
      </w:r>
    </w:p>
    <w:p>
      <w:pPr>
        <w:spacing w:line="500" w:lineRule="exact"/>
        <w:ind w:firstLine="6000" w:firstLineChars="2500"/>
        <w:rPr>
          <w:rFonts w:ascii="宋体" w:hAnsi="宋体" w:cs="宋体"/>
          <w:color w:val="000000"/>
          <w:sz w:val="24"/>
          <w:szCs w:val="24"/>
          <w:highlight w:val="none"/>
        </w:rPr>
      </w:pPr>
      <w:r>
        <w:rPr>
          <w:rFonts w:hint="eastAsia" w:ascii="宋体" w:hAnsi="宋体" w:cs="宋体"/>
          <w:color w:val="000000"/>
          <w:sz w:val="24"/>
          <w:szCs w:val="24"/>
          <w:highlight w:val="none"/>
        </w:rPr>
        <w:t>年 月日</w:t>
      </w:r>
    </w:p>
    <w:p>
      <w:pPr>
        <w:rPr>
          <w:rFonts w:ascii="宋体" w:hAnsi="宋体" w:cs="宋体"/>
          <w:color w:val="000000"/>
          <w:sz w:val="24"/>
          <w:szCs w:val="24"/>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sz w:val="24"/>
          <w:szCs w:val="24"/>
          <w:highlight w:val="none"/>
        </w:rPr>
      </w:pPr>
      <w:r>
        <w:rPr>
          <w:rFonts w:hint="eastAsia" w:ascii="宋体" w:hAnsi="宋体" w:cs="宋体"/>
          <w:color w:val="000000"/>
          <w:sz w:val="24"/>
          <w:szCs w:val="24"/>
          <w:highlight w:val="none"/>
        </w:rPr>
        <w:t>备注：投标人或利害关系人对招标文件的内容或对中标候选人公示有异议，要求招标机构解释的，适用本格式。</w:t>
      </w: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pStyle w:val="4"/>
        <w:rPr>
          <w:rFonts w:cs="宋体"/>
          <w:color w:val="000000"/>
          <w:highlight w:val="none"/>
        </w:rPr>
      </w:pPr>
      <w:r>
        <w:rPr>
          <w:rFonts w:hint="eastAsia" w:cs="宋体"/>
          <w:color w:val="000000"/>
          <w:highlight w:val="none"/>
        </w:rPr>
        <w:br w:type="page"/>
      </w:r>
      <w:bookmarkStart w:id="310" w:name="_Toc11506"/>
      <w:bookmarkStart w:id="311" w:name="_Toc14485"/>
      <w:bookmarkStart w:id="312" w:name="_Toc23629"/>
      <w:bookmarkStart w:id="313" w:name="_Toc18603096"/>
      <w:bookmarkStart w:id="314" w:name="_Toc21445"/>
      <w:bookmarkStart w:id="315" w:name="_Toc522293518"/>
      <w:r>
        <w:rPr>
          <w:rFonts w:hint="eastAsia" w:cs="宋体"/>
          <w:color w:val="000000"/>
          <w:highlight w:val="none"/>
        </w:rPr>
        <w:t>附表三：异议答复函</w:t>
      </w:r>
      <w:bookmarkEnd w:id="310"/>
      <w:bookmarkEnd w:id="311"/>
      <w:bookmarkEnd w:id="312"/>
      <w:bookmarkEnd w:id="313"/>
      <w:bookmarkEnd w:id="314"/>
      <w:bookmarkEnd w:id="315"/>
    </w:p>
    <w:p>
      <w:pPr>
        <w:spacing w:line="400" w:lineRule="exact"/>
        <w:ind w:firstLine="482"/>
        <w:jc w:val="center"/>
        <w:rPr>
          <w:rFonts w:ascii="宋体" w:hAnsi="宋体" w:cs="宋体"/>
          <w:b/>
          <w:color w:val="000000"/>
          <w:sz w:val="24"/>
          <w:szCs w:val="24"/>
          <w:highlight w:val="none"/>
        </w:rPr>
      </w:pPr>
      <w:r>
        <w:rPr>
          <w:rFonts w:hint="eastAsia" w:ascii="宋体" w:hAnsi="宋体" w:cs="宋体"/>
          <w:b/>
          <w:color w:val="000000"/>
          <w:sz w:val="24"/>
          <w:szCs w:val="24"/>
          <w:highlight w:val="none"/>
        </w:rPr>
        <w:t>异议答复函</w:t>
      </w:r>
    </w:p>
    <w:p>
      <w:pPr>
        <w:spacing w:line="400" w:lineRule="exact"/>
        <w:rPr>
          <w:rFonts w:ascii="宋体" w:hAnsi="宋体" w:cs="宋体"/>
          <w:b/>
          <w:color w:val="000000"/>
          <w:sz w:val="24"/>
          <w:szCs w:val="24"/>
          <w:highlight w:val="none"/>
        </w:rPr>
      </w:pPr>
    </w:p>
    <w:p>
      <w:pPr>
        <w:spacing w:line="500" w:lineRule="exact"/>
        <w:ind w:firstLine="120" w:firstLineChars="50"/>
        <w:rPr>
          <w:rFonts w:ascii="宋体" w:hAnsi="宋体" w:cs="宋体"/>
          <w:color w:val="000000"/>
          <w:sz w:val="24"/>
          <w:szCs w:val="24"/>
          <w:highlight w:val="none"/>
        </w:rPr>
      </w:pPr>
      <w:r>
        <w:rPr>
          <w:rFonts w:hint="eastAsia" w:ascii="宋体" w:hAnsi="宋体" w:cs="宋体"/>
          <w:color w:val="000000"/>
          <w:sz w:val="24"/>
          <w:szCs w:val="24"/>
          <w:highlight w:val="none"/>
        </w:rPr>
        <w:t>(投标人或利害关系人名称)：</w:t>
      </w:r>
    </w:p>
    <w:p>
      <w:pPr>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你方提出的有关 招标文件（或中标候选人公示）的异议已收悉，现答复如下：</w:t>
      </w:r>
    </w:p>
    <w:p>
      <w:pPr>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1.……</w:t>
      </w:r>
    </w:p>
    <w:p>
      <w:pPr>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2.……</w:t>
      </w:r>
    </w:p>
    <w:p>
      <w:pPr>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w:t>
      </w:r>
    </w:p>
    <w:p>
      <w:pPr>
        <w:spacing w:line="500" w:lineRule="exact"/>
        <w:rPr>
          <w:rFonts w:ascii="宋体" w:hAnsi="宋体" w:cs="宋体"/>
          <w:color w:val="000000"/>
          <w:sz w:val="24"/>
          <w:szCs w:val="24"/>
          <w:highlight w:val="none"/>
        </w:rPr>
      </w:pPr>
    </w:p>
    <w:p>
      <w:pPr>
        <w:spacing w:line="500" w:lineRule="exact"/>
        <w:rPr>
          <w:rFonts w:ascii="宋体" w:hAnsi="宋体" w:cs="宋体"/>
          <w:color w:val="000000"/>
          <w:sz w:val="24"/>
          <w:szCs w:val="24"/>
          <w:highlight w:val="none"/>
        </w:rPr>
      </w:pPr>
    </w:p>
    <w:p>
      <w:pPr>
        <w:spacing w:line="500" w:lineRule="exact"/>
        <w:rPr>
          <w:rFonts w:ascii="宋体" w:hAnsi="宋体" w:cs="宋体"/>
          <w:color w:val="000000"/>
          <w:sz w:val="24"/>
          <w:szCs w:val="24"/>
          <w:highlight w:val="none"/>
        </w:rPr>
      </w:pPr>
    </w:p>
    <w:p>
      <w:pPr>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招标机构：  （盖单位章）</w:t>
      </w:r>
    </w:p>
    <w:p>
      <w:pPr>
        <w:spacing w:line="500" w:lineRule="exact"/>
        <w:rPr>
          <w:rFonts w:ascii="宋体" w:hAnsi="宋体" w:cs="宋体"/>
          <w:color w:val="000000"/>
          <w:sz w:val="24"/>
          <w:szCs w:val="24"/>
          <w:highlight w:val="none"/>
        </w:rPr>
      </w:pPr>
    </w:p>
    <w:p>
      <w:pPr>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年月日</w:t>
      </w:r>
    </w:p>
    <w:p>
      <w:pPr>
        <w:pStyle w:val="3"/>
        <w:pageBreakBefore/>
        <w:rPr>
          <w:rFonts w:cs="宋体"/>
          <w:color w:val="000000"/>
          <w:highlight w:val="none"/>
        </w:rPr>
      </w:pPr>
      <w:bookmarkStart w:id="316" w:name="_Toc31653"/>
      <w:bookmarkStart w:id="317" w:name="_Toc522293519"/>
      <w:bookmarkStart w:id="318" w:name="_Toc11142"/>
      <w:bookmarkStart w:id="319" w:name="_Toc1715"/>
      <w:bookmarkStart w:id="320" w:name="_Toc29666"/>
      <w:r>
        <w:rPr>
          <w:rFonts w:hint="eastAsia" w:cs="宋体"/>
          <w:color w:val="000000"/>
          <w:highlight w:val="none"/>
        </w:rPr>
        <w:t>第三章  评标办法（</w:t>
      </w:r>
      <w:bookmarkEnd w:id="316"/>
      <w:bookmarkEnd w:id="317"/>
      <w:r>
        <w:rPr>
          <w:rFonts w:hint="eastAsia" w:cs="宋体"/>
          <w:color w:val="000000"/>
          <w:highlight w:val="none"/>
        </w:rPr>
        <w:t>综合评估法）</w:t>
      </w:r>
      <w:bookmarkEnd w:id="318"/>
      <w:bookmarkEnd w:id="319"/>
      <w:bookmarkEnd w:id="320"/>
    </w:p>
    <w:p>
      <w:pPr>
        <w:pStyle w:val="4"/>
        <w:rPr>
          <w:rFonts w:cs="宋体"/>
          <w:color w:val="000000"/>
          <w:highlight w:val="none"/>
        </w:rPr>
      </w:pPr>
      <w:bookmarkStart w:id="321" w:name="_Toc522293520"/>
      <w:bookmarkStart w:id="322" w:name="_Toc29272"/>
      <w:bookmarkStart w:id="323" w:name="_Toc4112"/>
      <w:bookmarkStart w:id="324" w:name="_Toc588"/>
      <w:bookmarkStart w:id="325" w:name="_Toc15033"/>
      <w:r>
        <w:rPr>
          <w:rFonts w:hint="eastAsia" w:cs="宋体"/>
          <w:color w:val="000000"/>
          <w:highlight w:val="none"/>
        </w:rPr>
        <w:t>评标办法前附表</w:t>
      </w:r>
      <w:bookmarkEnd w:id="321"/>
      <w:bookmarkEnd w:id="322"/>
      <w:bookmarkEnd w:id="323"/>
      <w:bookmarkEnd w:id="324"/>
      <w:bookmarkEnd w:id="325"/>
    </w:p>
    <w:tbl>
      <w:tblPr>
        <w:tblStyle w:val="42"/>
        <w:tblW w:w="1429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41"/>
        <w:gridCol w:w="175"/>
        <w:gridCol w:w="713"/>
        <w:gridCol w:w="989"/>
        <w:gridCol w:w="1134"/>
        <w:gridCol w:w="6237"/>
        <w:gridCol w:w="450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条款号</w:t>
            </w: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评审因素</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2.1.1</w:t>
            </w:r>
          </w:p>
        </w:tc>
        <w:tc>
          <w:tcPr>
            <w:tcW w:w="713"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形式评审标准</w:t>
            </w: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投标人名称</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投标文件的签署</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报价唯一</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每项只能有一个报价。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ind w:firstLine="240" w:firstLineChars="100"/>
              <w:rPr>
                <w:rFonts w:ascii="宋体" w:hAnsi="宋体" w:cs="宋体"/>
                <w:color w:val="000000"/>
                <w:sz w:val="24"/>
                <w:szCs w:val="24"/>
                <w:highlight w:val="none"/>
              </w:rPr>
            </w:pPr>
            <w:r>
              <w:rPr>
                <w:rFonts w:hint="eastAsia" w:ascii="宋体" w:hAnsi="宋体" w:cs="宋体"/>
                <w:color w:val="000000"/>
                <w:sz w:val="24"/>
                <w:szCs w:val="24"/>
                <w:highlight w:val="none"/>
              </w:rPr>
              <w:t>参加开标会人员</w:t>
            </w:r>
          </w:p>
        </w:tc>
        <w:tc>
          <w:tcPr>
            <w:tcW w:w="6237" w:type="dxa"/>
            <w:tcBorders>
              <w:top w:val="outset" w:color="auto" w:sz="6" w:space="0"/>
              <w:left w:val="outset" w:color="auto" w:sz="6" w:space="0"/>
              <w:bottom w:val="outset" w:color="auto" w:sz="6" w:space="0"/>
              <w:right w:val="outset" w:color="auto" w:sz="6" w:space="0"/>
            </w:tcBorders>
            <w:vAlign w:val="center"/>
          </w:tcPr>
          <w:p>
            <w:pPr>
              <w:pStyle w:val="2"/>
              <w:spacing w:line="360" w:lineRule="exact"/>
              <w:rPr>
                <w:rFonts w:cs="宋体"/>
                <w:color w:val="000000"/>
                <w:sz w:val="24"/>
                <w:highlight w:val="none"/>
              </w:rPr>
            </w:pPr>
            <w:r>
              <w:rPr>
                <w:rFonts w:hint="eastAsia" w:cs="宋体"/>
                <w:color w:val="000000"/>
                <w:sz w:val="24"/>
                <w:highlight w:val="none"/>
              </w:rPr>
              <w:t>投标人的法定代表人或委托代理人应</w:t>
            </w:r>
            <w:r>
              <w:rPr>
                <w:rFonts w:hint="eastAsia" w:cs="宋体"/>
                <w:b/>
                <w:bCs/>
                <w:color w:val="000000"/>
                <w:sz w:val="24"/>
                <w:highlight w:val="none"/>
              </w:rPr>
              <w:t>单独携带</w:t>
            </w:r>
            <w:r>
              <w:rPr>
                <w:rFonts w:hint="eastAsia" w:cs="宋体"/>
                <w:color w:val="000000"/>
                <w:sz w:val="24"/>
                <w:highlight w:val="none"/>
              </w:rPr>
              <w:t>身份证明文件原件（</w:t>
            </w:r>
            <w:r>
              <w:rPr>
                <w:rFonts w:hint="eastAsia" w:cs="宋体"/>
                <w:b/>
                <w:color w:val="000000"/>
                <w:sz w:val="24"/>
                <w:highlight w:val="none"/>
              </w:rPr>
              <w:t>法定代表人身份证明或法人授权委托书原件</w:t>
            </w:r>
            <w:r>
              <w:rPr>
                <w:rFonts w:hint="eastAsia" w:cs="宋体"/>
                <w:color w:val="000000"/>
                <w:sz w:val="24"/>
                <w:highlight w:val="none"/>
              </w:rPr>
              <w:t>）和</w:t>
            </w:r>
            <w:r>
              <w:rPr>
                <w:rFonts w:hint="eastAsia" w:cs="宋体"/>
                <w:b/>
                <w:color w:val="000000"/>
                <w:sz w:val="24"/>
                <w:highlight w:val="none"/>
              </w:rPr>
              <w:t>第二代有效身份证原件</w:t>
            </w:r>
            <w:r>
              <w:rPr>
                <w:rFonts w:hint="eastAsia" w:cs="宋体"/>
                <w:color w:val="000000"/>
                <w:sz w:val="24"/>
                <w:highlight w:val="none"/>
              </w:rPr>
              <w:t>准时参加开标会。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2.1.2</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资格评审标准</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营业执照</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bCs/>
                <w:color w:val="000000"/>
                <w:sz w:val="24"/>
                <w:szCs w:val="24"/>
                <w:highlight w:val="none"/>
              </w:rPr>
              <w:t>具备工商行政主管部门核发的有效法人</w:t>
            </w:r>
            <w:r>
              <w:rPr>
                <w:rFonts w:hint="eastAsia" w:ascii="宋体" w:hAnsi="宋体" w:cs="宋体"/>
                <w:b/>
                <w:bCs/>
                <w:color w:val="000000"/>
                <w:sz w:val="24"/>
                <w:szCs w:val="24"/>
                <w:highlight w:val="none"/>
              </w:rPr>
              <w:t>营业执照</w:t>
            </w:r>
            <w:r>
              <w:rPr>
                <w:rFonts w:hint="eastAsia" w:ascii="宋体" w:hAnsi="宋体" w:cs="宋体"/>
                <w:bCs/>
                <w:color w:val="000000"/>
                <w:sz w:val="24"/>
                <w:szCs w:val="24"/>
                <w:highlight w:val="none"/>
              </w:rPr>
              <w:t>，投标人不得以分公司名义进行投标，投标文件的单位盖章必须使用其法人公章，分公司盖章无效；（提供营业执照复印件加盖单位公章）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业绩</w:t>
            </w:r>
          </w:p>
        </w:tc>
        <w:tc>
          <w:tcPr>
            <w:tcW w:w="6237" w:type="dxa"/>
            <w:tcBorders>
              <w:top w:val="outset" w:color="auto" w:sz="6" w:space="0"/>
              <w:left w:val="single" w:color="auto" w:sz="4" w:space="0"/>
              <w:bottom w:val="outset" w:color="auto" w:sz="6" w:space="0"/>
              <w:right w:val="outset" w:color="auto" w:sz="6" w:space="0"/>
            </w:tcBorders>
            <w:vAlign w:val="center"/>
          </w:tcPr>
          <w:p>
            <w:pPr>
              <w:pStyle w:val="232"/>
              <w:shd w:val="clear" w:color="auto" w:fill="FFFFFF"/>
              <w:spacing w:line="360" w:lineRule="exact"/>
              <w:rPr>
                <w:rFonts w:cs="宋体"/>
                <w:highlight w:val="none"/>
              </w:rPr>
            </w:pPr>
            <w:r>
              <w:rPr>
                <w:rFonts w:hint="eastAsia" w:cs="宋体"/>
                <w:highlight w:val="none"/>
                <w:lang w:val="zh-CN"/>
              </w:rPr>
              <w:t>投标人近三年承担过或正在履行企业园区或商业综合体或专业化市场或写字楼或酒店或住宅等场所的保洁服务项目；（提供合同复印件加盖单位公章）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信用信息</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sz w:val="24"/>
                <w:szCs w:val="24"/>
                <w:highlight w:val="none"/>
              </w:rPr>
            </w:pPr>
            <w:r>
              <w:rPr>
                <w:rFonts w:hint="eastAsia" w:ascii="宋体" w:cs="宋体"/>
                <w:sz w:val="24"/>
                <w:szCs w:val="24"/>
                <w:highlight w:val="none"/>
                <w:lang w:val="zh-CN"/>
              </w:rPr>
              <w:t>在</w:t>
            </w:r>
            <w:r>
              <w:rPr>
                <w:rFonts w:ascii="宋体" w:cs="宋体"/>
                <w:sz w:val="24"/>
                <w:szCs w:val="24"/>
                <w:highlight w:val="none"/>
                <w:lang w:val="zh-CN"/>
              </w:rPr>
              <w:t>“</w:t>
            </w:r>
            <w:r>
              <w:rPr>
                <w:rFonts w:hint="eastAsia" w:ascii="宋体" w:cs="宋体"/>
                <w:sz w:val="24"/>
                <w:szCs w:val="24"/>
                <w:highlight w:val="none"/>
                <w:lang w:val="zh-CN"/>
              </w:rPr>
              <w:t>信用中国</w:t>
            </w:r>
            <w:r>
              <w:rPr>
                <w:rFonts w:ascii="宋体" w:cs="宋体"/>
                <w:sz w:val="24"/>
                <w:szCs w:val="24"/>
                <w:highlight w:val="none"/>
                <w:lang w:val="zh-CN"/>
              </w:rPr>
              <w:t>”</w:t>
            </w:r>
            <w:r>
              <w:rPr>
                <w:rFonts w:hint="eastAsia" w:ascii="宋体" w:cs="宋体"/>
                <w:sz w:val="24"/>
                <w:szCs w:val="24"/>
                <w:highlight w:val="none"/>
                <w:lang w:val="zh-CN"/>
              </w:rPr>
              <w:t>网站，未被列入失信被执行人；（提供查询截图复印件加盖单位公章）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单位负责人</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lang w:val="zh-CN"/>
              </w:rPr>
            </w:pPr>
            <w:r>
              <w:rPr>
                <w:rFonts w:hint="eastAsia" w:ascii="宋体" w:hAnsi="宋体" w:cs="宋体"/>
                <w:color w:val="000000"/>
                <w:sz w:val="24"/>
                <w:szCs w:val="24"/>
                <w:highlight w:val="none"/>
              </w:rPr>
              <w:t>单位负责人为同一人或者存在控股、管理关系的不同单位，不得参加同一项目投标。与招标人存在利害关系可能影响招标公正性的法人、其他组织或者个人，不得参加投标；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联合体</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lang w:val="zh-CN"/>
              </w:rPr>
            </w:pPr>
            <w:r>
              <w:rPr>
                <w:rFonts w:hint="eastAsia" w:ascii="宋体" w:hAnsi="宋体" w:cs="宋体"/>
                <w:color w:val="000000"/>
                <w:sz w:val="24"/>
                <w:szCs w:val="24"/>
                <w:highlight w:val="none"/>
              </w:rPr>
              <w:t>本项目不接受联合体投标，投标人必须以独立投标人身份参与投标。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2.1.3</w:t>
            </w:r>
          </w:p>
        </w:tc>
        <w:tc>
          <w:tcPr>
            <w:tcW w:w="713" w:type="dxa"/>
            <w:vMerge w:val="restart"/>
            <w:tcBorders>
              <w:top w:val="single" w:color="auto" w:sz="4" w:space="0"/>
              <w:left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响应性评审标准</w:t>
            </w:r>
          </w:p>
        </w:tc>
        <w:tc>
          <w:tcPr>
            <w:tcW w:w="2123" w:type="dxa"/>
            <w:gridSpan w:val="2"/>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投标内容</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符合第二章“投标人须知”第1.3项规定（服务范围、服务地点、服务期）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投标有效期</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权利义务</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投标价格</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716"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713" w:type="dxa"/>
            <w:vMerge w:val="continue"/>
            <w:tcBorders>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违法投标行为</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评标过程中，评标委员会未发现投标人串通投标，以他人名义投标或以其他弄虚作假方式投标。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2.2.1</w:t>
            </w:r>
          </w:p>
        </w:tc>
        <w:tc>
          <w:tcPr>
            <w:tcW w:w="2123" w:type="dxa"/>
            <w:gridSpan w:val="2"/>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分值构成</w:t>
            </w:r>
          </w:p>
          <w:p>
            <w:pPr>
              <w:spacing w:line="360" w:lineRule="exact"/>
              <w:jc w:val="center"/>
              <w:rPr>
                <w:rFonts w:ascii="宋体" w:hAnsi="宋体" w:cs="宋体"/>
                <w:sz w:val="24"/>
                <w:szCs w:val="24"/>
                <w:highlight w:val="none"/>
              </w:rPr>
            </w:pPr>
            <w:r>
              <w:rPr>
                <w:rFonts w:hint="eastAsia" w:ascii="宋体" w:hAnsi="宋体" w:cs="宋体"/>
                <w:sz w:val="24"/>
                <w:szCs w:val="24"/>
                <w:highlight w:val="none"/>
              </w:rPr>
              <w:t>（总分100分）</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宋体" w:hAnsi="宋体" w:cs="宋体"/>
                <w:sz w:val="24"/>
                <w:szCs w:val="24"/>
                <w:highlight w:val="none"/>
              </w:rPr>
            </w:pPr>
            <w:r>
              <w:rPr>
                <w:rFonts w:hint="eastAsia" w:ascii="宋体" w:hAnsi="宋体" w:cs="宋体"/>
                <w:sz w:val="24"/>
                <w:szCs w:val="24"/>
                <w:highlight w:val="none"/>
              </w:rPr>
              <w:t>商务评审：20分</w:t>
            </w:r>
          </w:p>
          <w:p>
            <w:pPr>
              <w:spacing w:line="360" w:lineRule="exact"/>
              <w:rPr>
                <w:rFonts w:ascii="宋体" w:hAnsi="宋体" w:cs="宋体"/>
                <w:sz w:val="24"/>
                <w:szCs w:val="24"/>
                <w:highlight w:val="none"/>
              </w:rPr>
            </w:pPr>
            <w:r>
              <w:rPr>
                <w:rFonts w:hint="eastAsia" w:ascii="宋体" w:hAnsi="宋体" w:cs="宋体"/>
                <w:sz w:val="24"/>
                <w:szCs w:val="24"/>
                <w:highlight w:val="none"/>
              </w:rPr>
              <w:t>技术评审：20分</w:t>
            </w:r>
          </w:p>
          <w:p>
            <w:pPr>
              <w:spacing w:line="360" w:lineRule="exact"/>
              <w:rPr>
                <w:rFonts w:ascii="宋体" w:hAnsi="宋体" w:cs="宋体"/>
                <w:sz w:val="24"/>
                <w:szCs w:val="24"/>
                <w:highlight w:val="none"/>
              </w:rPr>
            </w:pPr>
            <w:r>
              <w:rPr>
                <w:rFonts w:hint="eastAsia" w:ascii="宋体" w:hAnsi="宋体" w:cs="宋体"/>
                <w:sz w:val="24"/>
                <w:szCs w:val="24"/>
                <w:highlight w:val="none"/>
              </w:rPr>
              <w:t>经济评审：60分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1429" w:type="dxa"/>
            <w:gridSpan w:val="3"/>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条款号</w:t>
            </w:r>
          </w:p>
        </w:tc>
        <w:tc>
          <w:tcPr>
            <w:tcW w:w="212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评审因素</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70" w:hRule="atLeast"/>
        </w:trPr>
        <w:tc>
          <w:tcPr>
            <w:tcW w:w="541"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2.2.2</w:t>
            </w:r>
          </w:p>
        </w:tc>
        <w:tc>
          <w:tcPr>
            <w:tcW w:w="88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综合标评分因素评分标准</w:t>
            </w:r>
          </w:p>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（100分）</w:t>
            </w:r>
          </w:p>
        </w:tc>
        <w:tc>
          <w:tcPr>
            <w:tcW w:w="989"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商务评审</w:t>
            </w:r>
          </w:p>
          <w:p>
            <w:pPr>
              <w:spacing w:line="360" w:lineRule="exact"/>
              <w:jc w:val="center"/>
              <w:rPr>
                <w:rFonts w:ascii="宋体" w:hAnsi="宋体" w:cs="宋体"/>
                <w:sz w:val="24"/>
                <w:szCs w:val="24"/>
                <w:highlight w:val="none"/>
              </w:rPr>
            </w:pPr>
            <w:r>
              <w:rPr>
                <w:rFonts w:hint="eastAsia" w:ascii="宋体" w:hAnsi="宋体" w:cs="宋体"/>
                <w:sz w:val="24"/>
                <w:szCs w:val="24"/>
                <w:highlight w:val="none"/>
              </w:rPr>
              <w:t>（20分）</w:t>
            </w:r>
          </w:p>
        </w:tc>
        <w:tc>
          <w:tcPr>
            <w:tcW w:w="1134" w:type="dxa"/>
            <w:tcBorders>
              <w:top w:val="single" w:color="auto" w:sz="4" w:space="0"/>
              <w:left w:val="single" w:color="auto" w:sz="4" w:space="0"/>
              <w:right w:val="single" w:color="auto" w:sz="4" w:space="0"/>
            </w:tcBorders>
            <w:vAlign w:val="center"/>
          </w:tcPr>
          <w:p>
            <w:pPr>
              <w:spacing w:line="360" w:lineRule="exact"/>
              <w:jc w:val="left"/>
              <w:rPr>
                <w:rFonts w:ascii="宋体" w:hAnsi="宋体"/>
                <w:sz w:val="24"/>
                <w:szCs w:val="24"/>
                <w:highlight w:val="none"/>
              </w:rPr>
            </w:pPr>
            <w:r>
              <w:rPr>
                <w:rFonts w:hint="eastAsia" w:ascii="宋体" w:hAnsi="宋体"/>
                <w:sz w:val="24"/>
                <w:szCs w:val="24"/>
                <w:highlight w:val="none"/>
              </w:rPr>
              <w:t>投标文件制作（1分）</w:t>
            </w:r>
          </w:p>
        </w:tc>
        <w:tc>
          <w:tcPr>
            <w:tcW w:w="6237" w:type="dxa"/>
            <w:tcBorders>
              <w:top w:val="outset" w:color="auto" w:sz="6" w:space="0"/>
              <w:left w:val="single" w:color="auto" w:sz="4" w:space="0"/>
              <w:right w:val="outset" w:color="auto" w:sz="6" w:space="0"/>
            </w:tcBorders>
            <w:vAlign w:val="center"/>
          </w:tcPr>
          <w:p>
            <w:pPr>
              <w:spacing w:line="360" w:lineRule="exact"/>
              <w:jc w:val="left"/>
              <w:rPr>
                <w:rFonts w:ascii="宋体" w:hAnsi="宋体"/>
                <w:sz w:val="24"/>
                <w:szCs w:val="24"/>
                <w:highlight w:val="none"/>
              </w:rPr>
            </w:pPr>
            <w:r>
              <w:rPr>
                <w:rFonts w:hint="eastAsia" w:ascii="宋体" w:hAnsi="宋体"/>
                <w:sz w:val="24"/>
                <w:szCs w:val="24"/>
                <w:highlight w:val="none"/>
              </w:rPr>
              <w:t>按照招标文件要求装订投标文件，有目录并编制页码，内容架构清晰，易于查阅、审核。根据投标文件编制情况酌情给予0-1分。</w:t>
            </w:r>
          </w:p>
        </w:tc>
        <w:tc>
          <w:tcPr>
            <w:tcW w:w="4502" w:type="dxa"/>
            <w:vAlign w:val="center"/>
          </w:tcPr>
          <w:p>
            <w:pPr>
              <w:pStyle w:val="2"/>
              <w:spacing w:line="360" w:lineRule="exact"/>
              <w:rPr>
                <w:sz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continue"/>
            <w:tcBorders>
              <w:top w:val="single" w:color="auto" w:sz="4" w:space="0"/>
              <w:left w:val="single" w:color="auto" w:sz="4" w:space="0"/>
              <w:right w:val="single" w:color="auto" w:sz="4" w:space="0"/>
            </w:tcBorders>
            <w:vAlign w:val="center"/>
          </w:tcPr>
          <w:p>
            <w:pPr>
              <w:spacing w:line="360" w:lineRule="exact"/>
              <w:jc w:val="center"/>
              <w:rPr>
                <w:rFonts w:ascii="宋体" w:hAnsi="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highlight w:val="none"/>
              </w:rPr>
            </w:pPr>
            <w:r>
              <w:rPr>
                <w:rFonts w:hint="eastAsia" w:ascii="宋体" w:hAnsi="宋体" w:cs="宋体"/>
                <w:sz w:val="24"/>
                <w:szCs w:val="24"/>
                <w:highlight w:val="none"/>
              </w:rPr>
              <w:t>投标人业绩（15分）</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cs="宋体"/>
                <w:sz w:val="24"/>
                <w:szCs w:val="24"/>
                <w:highlight w:val="none"/>
                <w:lang w:val="zh-CN"/>
              </w:rPr>
              <w:t>投标人近三年承担过或正在履行按</w:t>
            </w:r>
            <w:r>
              <w:rPr>
                <w:rFonts w:ascii="宋体" w:cs="宋体"/>
                <w:sz w:val="24"/>
                <w:szCs w:val="24"/>
                <w:highlight w:val="none"/>
                <w:lang w:val="zh-CN"/>
              </w:rPr>
              <w:t>1</w:t>
            </w:r>
            <w:r>
              <w:rPr>
                <w:rFonts w:hint="eastAsia" w:ascii="宋体" w:cs="宋体"/>
                <w:sz w:val="24"/>
                <w:szCs w:val="24"/>
                <w:highlight w:val="none"/>
                <w:lang w:val="zh-CN"/>
              </w:rPr>
              <w:t>年计算单项合同金额在</w:t>
            </w:r>
            <w:r>
              <w:rPr>
                <w:rFonts w:hint="eastAsia" w:ascii="宋体" w:cs="宋体"/>
                <w:sz w:val="24"/>
                <w:szCs w:val="24"/>
                <w:highlight w:val="none"/>
              </w:rPr>
              <w:t>50</w:t>
            </w:r>
            <w:r>
              <w:rPr>
                <w:rFonts w:hint="eastAsia" w:ascii="宋体" w:cs="宋体"/>
                <w:sz w:val="24"/>
                <w:szCs w:val="24"/>
                <w:highlight w:val="none"/>
                <w:lang w:val="zh-CN"/>
              </w:rPr>
              <w:t>万元及以上的企业园区或商业综合体或专业化市场或写字楼或酒店或住宅等场所的保洁服务项目</w:t>
            </w:r>
            <w:r>
              <w:rPr>
                <w:rFonts w:hint="eastAsia" w:ascii="宋体" w:hAnsi="宋体" w:cs="宋体"/>
                <w:sz w:val="24"/>
                <w:szCs w:val="24"/>
                <w:highlight w:val="none"/>
              </w:rPr>
              <w:t>，每提供一个项目得5分，最多得15分。（提供合同或者中标通知书复印件加盖单位盖章）</w:t>
            </w:r>
          </w:p>
          <w:p>
            <w:pPr>
              <w:spacing w:line="360" w:lineRule="exact"/>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cs="宋体"/>
                <w:sz w:val="24"/>
                <w:szCs w:val="24"/>
                <w:highlight w:val="none"/>
                <w:lang w:val="zh-CN"/>
              </w:rPr>
              <w:t>投标人近三年承担过或正在履行按</w:t>
            </w:r>
            <w:r>
              <w:rPr>
                <w:rFonts w:ascii="宋体" w:cs="宋体"/>
                <w:sz w:val="24"/>
                <w:szCs w:val="24"/>
                <w:highlight w:val="none"/>
                <w:lang w:val="zh-CN"/>
              </w:rPr>
              <w:t>1</w:t>
            </w:r>
            <w:r>
              <w:rPr>
                <w:rFonts w:hint="eastAsia" w:ascii="宋体" w:cs="宋体"/>
                <w:sz w:val="24"/>
                <w:szCs w:val="24"/>
                <w:highlight w:val="none"/>
                <w:lang w:val="zh-CN"/>
              </w:rPr>
              <w:t>年计算单项合同金额在</w:t>
            </w:r>
            <w:r>
              <w:rPr>
                <w:rFonts w:hint="eastAsia" w:ascii="宋体" w:cs="宋体"/>
                <w:sz w:val="24"/>
                <w:szCs w:val="24"/>
                <w:highlight w:val="none"/>
              </w:rPr>
              <w:t>30</w:t>
            </w:r>
            <w:r>
              <w:rPr>
                <w:rFonts w:hint="eastAsia" w:ascii="宋体" w:cs="宋体"/>
                <w:sz w:val="24"/>
                <w:szCs w:val="24"/>
                <w:highlight w:val="none"/>
                <w:lang w:val="zh-CN"/>
              </w:rPr>
              <w:t>万元及以上的企业园区或商业综合体或专业化市场或写字楼或酒店或住宅等场所的保洁服务项目</w:t>
            </w:r>
            <w:r>
              <w:rPr>
                <w:rFonts w:hint="eastAsia" w:ascii="宋体" w:hAnsi="宋体" w:cs="宋体"/>
                <w:sz w:val="24"/>
                <w:szCs w:val="24"/>
                <w:highlight w:val="none"/>
              </w:rPr>
              <w:t>，每提供一个项目得3分，最多得9分。（提供合同或者中标通知书复印件加盖单位盖章）</w:t>
            </w:r>
          </w:p>
          <w:p>
            <w:pPr>
              <w:pStyle w:val="2"/>
              <w:spacing w:line="360" w:lineRule="exact"/>
              <w:rPr>
                <w:sz w:val="24"/>
                <w:highlight w:val="none"/>
              </w:rPr>
            </w:pPr>
            <w:r>
              <w:rPr>
                <w:rFonts w:hint="eastAsia"/>
                <w:sz w:val="24"/>
                <w:highlight w:val="none"/>
              </w:rPr>
              <w:t>注：同一项目不累计加分，本项最多得15分。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continue"/>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FF000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 w:val="24"/>
                <w:szCs w:val="24"/>
                <w:highlight w:val="none"/>
              </w:rPr>
            </w:pPr>
            <w:r>
              <w:rPr>
                <w:rFonts w:hint="eastAsia" w:ascii="宋体" w:hAnsi="宋体" w:cs="宋体"/>
                <w:sz w:val="24"/>
                <w:szCs w:val="24"/>
                <w:highlight w:val="none"/>
                <w:lang w:val="zh-CN"/>
              </w:rPr>
              <w:t>人员配备（</w:t>
            </w:r>
            <w:r>
              <w:rPr>
                <w:rFonts w:hint="eastAsia" w:ascii="宋体" w:hAnsi="宋体" w:cs="宋体"/>
                <w:sz w:val="24"/>
                <w:szCs w:val="24"/>
                <w:highlight w:val="none"/>
              </w:rPr>
              <w:t>2</w:t>
            </w:r>
            <w:r>
              <w:rPr>
                <w:rFonts w:hint="eastAsia" w:ascii="宋体" w:hAnsi="宋体" w:cs="宋体"/>
                <w:sz w:val="24"/>
                <w:szCs w:val="24"/>
                <w:highlight w:val="none"/>
                <w:lang w:val="zh-CN"/>
              </w:rPr>
              <w:t>分）</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cs="宋体"/>
                <w:sz w:val="24"/>
                <w:szCs w:val="24"/>
                <w:highlight w:val="none"/>
              </w:rPr>
            </w:pPr>
            <w:r>
              <w:rPr>
                <w:rFonts w:hint="eastAsia" w:ascii="宋体" w:hAnsi="宋体" w:cs="宋体"/>
                <w:sz w:val="24"/>
                <w:szCs w:val="24"/>
                <w:highlight w:val="none"/>
                <w:lang w:val="zh-CN"/>
              </w:rPr>
              <w:t>拟派本项目保洁服务人员满足招标文件服务要求，且不得少于18人，</w:t>
            </w:r>
            <w:r>
              <w:rPr>
                <w:rFonts w:hint="eastAsia" w:ascii="宋体" w:hAnsi="宋体" w:cs="宋体"/>
                <w:sz w:val="24"/>
                <w:szCs w:val="24"/>
                <w:highlight w:val="none"/>
              </w:rPr>
              <w:t>在此基础上每增加1人加1分，最</w:t>
            </w:r>
            <w:r>
              <w:rPr>
                <w:rFonts w:hint="eastAsia" w:ascii="宋体" w:hAnsi="宋体" w:cs="宋体"/>
                <w:sz w:val="24"/>
                <w:szCs w:val="24"/>
                <w:highlight w:val="none"/>
                <w:lang w:val="zh-CN"/>
              </w:rPr>
              <w:t>多加</w:t>
            </w:r>
            <w:r>
              <w:rPr>
                <w:rFonts w:hint="eastAsia" w:ascii="宋体" w:hAnsi="宋体" w:cs="宋体"/>
                <w:sz w:val="24"/>
                <w:szCs w:val="24"/>
                <w:highlight w:val="none"/>
              </w:rPr>
              <w:t>2</w:t>
            </w:r>
            <w:r>
              <w:rPr>
                <w:rFonts w:hint="eastAsia" w:ascii="宋体" w:hAnsi="宋体" w:cs="宋体"/>
                <w:sz w:val="24"/>
                <w:szCs w:val="24"/>
                <w:highlight w:val="none"/>
                <w:lang w:val="zh-CN"/>
              </w:rPr>
              <w:t>分。（提供拟派本项目人员承诺书原件）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continue"/>
            <w:tcBorders>
              <w:left w:val="single" w:color="auto" w:sz="4" w:space="0"/>
              <w:bottom w:val="outset" w:color="auto" w:sz="6" w:space="0"/>
              <w:right w:val="single" w:color="auto" w:sz="4" w:space="0"/>
            </w:tcBorders>
            <w:vAlign w:val="center"/>
          </w:tcPr>
          <w:p>
            <w:pPr>
              <w:widowControl/>
              <w:spacing w:line="360" w:lineRule="exact"/>
              <w:jc w:val="center"/>
              <w:rPr>
                <w:rFonts w:ascii="宋体" w:hAnsi="宋体" w:cs="宋体"/>
                <w:color w:val="FF0000"/>
                <w:sz w:val="24"/>
                <w:szCs w:val="24"/>
                <w:highlight w:val="none"/>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宋体" w:hAnsi="宋体" w:cs="宋体"/>
                <w:sz w:val="24"/>
                <w:szCs w:val="24"/>
                <w:highlight w:val="none"/>
              </w:rPr>
            </w:pPr>
            <w:r>
              <w:rPr>
                <w:rFonts w:hint="eastAsia" w:ascii="宋体" w:hAnsi="宋体" w:cs="宋体"/>
                <w:sz w:val="24"/>
                <w:szCs w:val="24"/>
                <w:highlight w:val="none"/>
              </w:rPr>
              <w:t>投标人荣誉（2分）</w:t>
            </w:r>
          </w:p>
        </w:tc>
        <w:tc>
          <w:tcPr>
            <w:tcW w:w="6237" w:type="dxa"/>
            <w:tcBorders>
              <w:top w:val="outset" w:color="auto" w:sz="6" w:space="0"/>
              <w:left w:val="outset" w:color="auto" w:sz="6" w:space="0"/>
              <w:bottom w:val="outset" w:color="auto" w:sz="6" w:space="0"/>
              <w:right w:val="outset" w:color="auto" w:sz="6" w:space="0"/>
            </w:tcBorders>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投标人近三年来获得省级及以上荣誉或奖项的得2分，市级的得1分，本项最多得2分。（提供获奖证书或其他证明材料复印件加盖单位盖章）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restart"/>
            <w:tcBorders>
              <w:left w:val="single" w:color="auto" w:sz="4" w:space="0"/>
              <w:right w:val="single" w:color="auto" w:sz="4" w:space="0"/>
            </w:tcBorders>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技术评审</w:t>
            </w:r>
          </w:p>
          <w:p>
            <w:pPr>
              <w:widowControl/>
              <w:spacing w:line="360" w:lineRule="exact"/>
              <w:jc w:val="center"/>
              <w:rPr>
                <w:rFonts w:ascii="宋体" w:hAnsi="宋体" w:cs="宋体"/>
                <w:sz w:val="24"/>
                <w:szCs w:val="24"/>
                <w:highlight w:val="none"/>
              </w:rPr>
            </w:pPr>
            <w:r>
              <w:rPr>
                <w:rFonts w:hint="eastAsia" w:ascii="宋体" w:hAnsi="宋体" w:cs="宋体"/>
                <w:sz w:val="24"/>
                <w:szCs w:val="24"/>
                <w:highlight w:val="none"/>
              </w:rPr>
              <w:t>（20分）</w:t>
            </w: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宋体" w:hAnsi="宋体"/>
                <w:sz w:val="24"/>
                <w:szCs w:val="24"/>
                <w:highlight w:val="none"/>
              </w:rPr>
            </w:pPr>
            <w:r>
              <w:rPr>
                <w:rFonts w:hint="eastAsia" w:ascii="宋体" w:hAnsi="宋体"/>
                <w:sz w:val="24"/>
                <w:szCs w:val="24"/>
                <w:highlight w:val="none"/>
              </w:rPr>
              <w:t>保洁服务方案</w:t>
            </w:r>
            <w:r>
              <w:rPr>
                <w:rFonts w:hint="eastAsia" w:ascii="宋体" w:hAnsi="宋体" w:cs="宋体"/>
                <w:sz w:val="24"/>
                <w:szCs w:val="24"/>
                <w:highlight w:val="none"/>
              </w:rPr>
              <w:t>（4分）</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rPr>
                <w:rFonts w:ascii="宋体" w:hAnsi="宋体"/>
                <w:sz w:val="24"/>
                <w:szCs w:val="24"/>
                <w:highlight w:val="none"/>
              </w:rPr>
            </w:pPr>
            <w:r>
              <w:rPr>
                <w:rFonts w:hint="eastAsia" w:ascii="宋体" w:hAnsi="宋体" w:cs="宋体"/>
                <w:color w:val="000000"/>
                <w:sz w:val="24"/>
                <w:szCs w:val="24"/>
                <w:highlight w:val="none"/>
              </w:rPr>
              <w:t>保洁服务方案应包括日常管理、服务标准、考核措施、人员考勤制度、服务质量标准及控制措施，保洁服务方案合理可行的得3-4分，保洁服务方案比较合理可行的得2-3分，保洁服务方案有但不太完善的得0-2分，没有保洁服务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sz w:val="24"/>
                <w:szCs w:val="24"/>
                <w:highlight w:val="none"/>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宋体" w:hAnsi="宋体" w:cs="宋体"/>
                <w:sz w:val="24"/>
                <w:szCs w:val="24"/>
                <w:highlight w:val="none"/>
              </w:rPr>
            </w:pPr>
            <w:r>
              <w:rPr>
                <w:rFonts w:hint="eastAsia" w:ascii="宋体" w:hAnsi="宋体" w:cs="宋体"/>
                <w:sz w:val="24"/>
                <w:szCs w:val="24"/>
                <w:highlight w:val="none"/>
              </w:rPr>
              <w:t>人员配备方案（4分）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针对招标文件商务及技术要求，提供详细的人员配备方案，不同岗位的人员分配等方案详实、针对性强且科学可行的得3-4分，人员配备方案比较合理可行的得2-3分，人员配备方案有但不太完善的得0-2分，没有人员配备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sz w:val="24"/>
                <w:szCs w:val="24"/>
                <w:highlight w:val="none"/>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宋体" w:hAnsi="宋体" w:cs="宋体"/>
                <w:sz w:val="24"/>
                <w:szCs w:val="24"/>
                <w:highlight w:val="none"/>
              </w:rPr>
            </w:pPr>
            <w:r>
              <w:rPr>
                <w:rFonts w:hint="eastAsia" w:ascii="宋体" w:hAnsi="宋体"/>
                <w:sz w:val="24"/>
                <w:szCs w:val="24"/>
                <w:highlight w:val="none"/>
              </w:rPr>
              <w:t>管理制度 （3分）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宋体" w:hAnsi="宋体" w:cs="宋体"/>
                <w:sz w:val="24"/>
                <w:szCs w:val="24"/>
                <w:highlight w:val="none"/>
              </w:rPr>
            </w:pPr>
            <w:r>
              <w:rPr>
                <w:rFonts w:hint="eastAsia" w:ascii="宋体" w:hAnsi="宋体" w:cs="宋体"/>
                <w:sz w:val="24"/>
                <w:szCs w:val="24"/>
                <w:highlight w:val="none"/>
              </w:rPr>
              <w:t>有全面的管理制度（含安全管理制度）、培训体系，岗位职责严格执行甲方服务标准及合同要求，管理制度详细、全面、合理可行的得2-3分，管理制度</w:t>
            </w:r>
            <w:r>
              <w:rPr>
                <w:rFonts w:hint="eastAsia" w:ascii="宋体" w:hAnsi="宋体"/>
                <w:sz w:val="24"/>
                <w:szCs w:val="24"/>
                <w:highlight w:val="none"/>
              </w:rPr>
              <w:t>比较合理可行的得1-2分，</w:t>
            </w:r>
            <w:r>
              <w:rPr>
                <w:rFonts w:hint="eastAsia" w:ascii="宋体" w:hAnsi="宋体" w:cs="宋体"/>
                <w:sz w:val="24"/>
                <w:szCs w:val="24"/>
                <w:highlight w:val="none"/>
              </w:rPr>
              <w:t>管理制度</w:t>
            </w:r>
            <w:r>
              <w:rPr>
                <w:rFonts w:hint="eastAsia" w:ascii="宋体" w:hAnsi="宋体"/>
                <w:sz w:val="24"/>
                <w:szCs w:val="24"/>
                <w:highlight w:val="none"/>
              </w:rPr>
              <w:t>有但不太完善的得0-1分，没有应急预案的不得分。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sz w:val="24"/>
                <w:szCs w:val="24"/>
                <w:highlight w:val="none"/>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宋体" w:hAnsi="宋体" w:cs="宋体"/>
                <w:sz w:val="24"/>
                <w:szCs w:val="24"/>
                <w:highlight w:val="none"/>
              </w:rPr>
            </w:pPr>
            <w:r>
              <w:rPr>
                <w:rFonts w:ascii="宋体" w:hAnsi="宋体"/>
                <w:sz w:val="24"/>
                <w:szCs w:val="24"/>
                <w:highlight w:val="none"/>
              </w:rPr>
              <w:t>专业设备</w:t>
            </w:r>
            <w:r>
              <w:rPr>
                <w:rFonts w:hint="eastAsia" w:ascii="宋体" w:hAnsi="宋体" w:cs="宋体"/>
                <w:sz w:val="24"/>
                <w:szCs w:val="24"/>
                <w:highlight w:val="none"/>
              </w:rPr>
              <w:t>（3分）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宋体" w:hAnsi="宋体" w:cs="宋体"/>
                <w:sz w:val="24"/>
                <w:szCs w:val="24"/>
                <w:highlight w:val="none"/>
              </w:rPr>
            </w:pPr>
            <w:r>
              <w:rPr>
                <w:rFonts w:hint="eastAsia" w:ascii="宋体" w:hAnsi="宋体" w:cs="宋体"/>
                <w:sz w:val="24"/>
                <w:szCs w:val="24"/>
                <w:highlight w:val="none"/>
              </w:rPr>
              <w:t>根据投入本项目保洁服务设备（如高压清洗设备、洗涤清洁设备、吸层清洁设备、扫地清洁设备、吹风清洁设备、抛光清洁设备等），设备配置专业合理的得2-3分；设备配置基本满足保洁服务的得1-2分；设备配置有但不完善的得0-1分，没有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ascii="宋体" w:hAnsi="宋体" w:cs="宋体"/>
                <w:sz w:val="24"/>
                <w:szCs w:val="24"/>
                <w:highlight w:val="none"/>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宋体" w:hAnsi="宋体"/>
                <w:sz w:val="24"/>
                <w:szCs w:val="24"/>
                <w:highlight w:val="none"/>
              </w:rPr>
            </w:pPr>
            <w:r>
              <w:rPr>
                <w:rFonts w:hint="eastAsia" w:ascii="宋体" w:hAnsi="宋体"/>
                <w:sz w:val="24"/>
                <w:szCs w:val="24"/>
                <w:highlight w:val="none"/>
              </w:rPr>
              <w:t>应急预案 （3分）</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rPr>
                <w:rFonts w:ascii="宋体" w:hAnsi="宋体"/>
                <w:sz w:val="24"/>
                <w:szCs w:val="24"/>
                <w:highlight w:val="none"/>
              </w:rPr>
            </w:pPr>
            <w:r>
              <w:rPr>
                <w:rFonts w:hint="eastAsia" w:ascii="宋体" w:hAnsi="宋体"/>
                <w:sz w:val="24"/>
                <w:szCs w:val="24"/>
                <w:highlight w:val="none"/>
              </w:rPr>
              <w:t>针对大型活动、节庆假日、创优评优、突击检查及恶劣天气等特殊时期的应急保障方案及日常安全保障方案详细、全面、合理可行的得2-3分，应急预案比较合理可行的得1-2分，应急预案有但不太完善的得0-1分，没有应急预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vMerge w:val="continue"/>
            <w:tcBorders>
              <w:left w:val="single" w:color="auto" w:sz="4" w:space="0"/>
              <w:bottom w:val="outset" w:color="auto" w:sz="6" w:space="0"/>
              <w:right w:val="single" w:color="auto" w:sz="4" w:space="0"/>
            </w:tcBorders>
            <w:vAlign w:val="center"/>
          </w:tcPr>
          <w:p>
            <w:pPr>
              <w:widowControl/>
              <w:spacing w:line="360" w:lineRule="exact"/>
              <w:jc w:val="center"/>
              <w:rPr>
                <w:rFonts w:ascii="宋体" w:hAnsi="宋体" w:cs="宋体"/>
                <w:sz w:val="24"/>
                <w:szCs w:val="24"/>
                <w:highlight w:val="none"/>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宋体" w:hAnsi="宋体"/>
                <w:sz w:val="24"/>
                <w:szCs w:val="24"/>
                <w:highlight w:val="none"/>
              </w:rPr>
            </w:pPr>
            <w:r>
              <w:rPr>
                <w:rFonts w:hint="eastAsia" w:ascii="宋体" w:hAnsi="宋体"/>
                <w:sz w:val="24"/>
                <w:szCs w:val="24"/>
                <w:highlight w:val="none"/>
              </w:rPr>
              <w:t>培训方案 （3分）</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rPr>
                <w:rFonts w:ascii="宋体" w:hAnsi="宋体"/>
                <w:sz w:val="24"/>
                <w:szCs w:val="24"/>
                <w:highlight w:val="none"/>
              </w:rPr>
            </w:pPr>
            <w:r>
              <w:rPr>
                <w:rFonts w:hint="eastAsia" w:ascii="宋体" w:hAnsi="宋体"/>
                <w:sz w:val="24"/>
                <w:szCs w:val="24"/>
                <w:highlight w:val="none"/>
              </w:rPr>
              <w:t>提供人员日常培训方案，方案详实、针对性强且科学可行的得2-3分，培训方案比较合理可行的得1-2分，培训方案有但不太完善的得0-1分，没有培训方案的不得分。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4502" w:type="dxa"/>
          <w:trHeight w:val="567" w:hRule="atLeast"/>
        </w:trPr>
        <w:tc>
          <w:tcPr>
            <w:tcW w:w="541"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888"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p>
        </w:tc>
        <w:tc>
          <w:tcPr>
            <w:tcW w:w="989" w:type="dxa"/>
            <w:tcBorders>
              <w:top w:val="outset" w:color="auto" w:sz="6"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szCs w:val="24"/>
                <w:highlight w:val="none"/>
              </w:rPr>
            </w:pPr>
            <w:r>
              <w:rPr>
                <w:rFonts w:hint="eastAsia" w:ascii="宋体" w:hAnsi="宋体" w:cs="宋体"/>
                <w:sz w:val="24"/>
                <w:szCs w:val="24"/>
                <w:highlight w:val="none"/>
              </w:rPr>
              <w:t>经济评审</w:t>
            </w:r>
          </w:p>
          <w:p>
            <w:pPr>
              <w:widowControl/>
              <w:spacing w:line="360" w:lineRule="exact"/>
              <w:jc w:val="center"/>
              <w:rPr>
                <w:rFonts w:ascii="宋体" w:hAnsi="宋体" w:cs="宋体"/>
                <w:sz w:val="24"/>
                <w:szCs w:val="24"/>
                <w:highlight w:val="none"/>
              </w:rPr>
            </w:pPr>
            <w:r>
              <w:rPr>
                <w:rFonts w:hint="eastAsia" w:ascii="宋体" w:hAnsi="宋体" w:cs="宋体"/>
                <w:sz w:val="24"/>
                <w:szCs w:val="24"/>
                <w:highlight w:val="none"/>
              </w:rPr>
              <w:t>（60分）</w:t>
            </w:r>
          </w:p>
        </w:tc>
        <w:tc>
          <w:tcPr>
            <w:tcW w:w="7371" w:type="dxa"/>
            <w:gridSpan w:val="2"/>
            <w:tcBorders>
              <w:top w:val="outset" w:color="auto" w:sz="6" w:space="0"/>
              <w:left w:val="single" w:color="auto" w:sz="4" w:space="0"/>
              <w:bottom w:val="single" w:color="auto" w:sz="4" w:space="0"/>
              <w:right w:val="outset" w:color="auto" w:sz="6" w:space="0"/>
            </w:tcBorders>
            <w:vAlign w:val="center"/>
          </w:tcPr>
          <w:p>
            <w:pPr>
              <w:widowControl/>
              <w:spacing w:line="360" w:lineRule="exact"/>
              <w:jc w:val="left"/>
              <w:rPr>
                <w:rFonts w:ascii="宋体" w:hAnsi="宋体" w:cs="宋体"/>
                <w:sz w:val="24"/>
                <w:szCs w:val="24"/>
                <w:highlight w:val="none"/>
              </w:rPr>
            </w:pPr>
            <w:r>
              <w:rPr>
                <w:rFonts w:ascii="宋体" w:hAnsi="宋体"/>
                <w:sz w:val="24"/>
                <w:szCs w:val="24"/>
                <w:highlight w:val="none"/>
              </w:rPr>
              <w:t>评标委员会只对资格和符合性检查合格的投标文件进行价格评议，满足招标文件要求的</w:t>
            </w:r>
            <w:r>
              <w:rPr>
                <w:rFonts w:hint="eastAsia" w:ascii="宋体" w:hAnsi="宋体"/>
                <w:sz w:val="24"/>
                <w:szCs w:val="24"/>
                <w:highlight w:val="none"/>
              </w:rPr>
              <w:t>有效</w:t>
            </w:r>
            <w:r>
              <w:rPr>
                <w:rFonts w:ascii="宋体" w:hAnsi="宋体"/>
                <w:sz w:val="24"/>
                <w:szCs w:val="24"/>
                <w:highlight w:val="none"/>
              </w:rPr>
              <w:t>投标报价</w:t>
            </w:r>
            <w:r>
              <w:rPr>
                <w:rFonts w:hint="eastAsia" w:ascii="宋体" w:hAnsi="宋体"/>
                <w:sz w:val="24"/>
                <w:szCs w:val="24"/>
                <w:highlight w:val="none"/>
              </w:rPr>
              <w:t>取算术平均值</w:t>
            </w:r>
            <w:r>
              <w:rPr>
                <w:rFonts w:ascii="宋体" w:hAnsi="宋体"/>
                <w:sz w:val="24"/>
                <w:szCs w:val="24"/>
                <w:highlight w:val="none"/>
              </w:rPr>
              <w:t>为评标基准价，</w:t>
            </w:r>
            <w:r>
              <w:rPr>
                <w:rFonts w:hint="eastAsia" w:ascii="宋体" w:hAnsi="宋体"/>
                <w:sz w:val="24"/>
                <w:szCs w:val="24"/>
                <w:highlight w:val="none"/>
              </w:rPr>
              <w:t>有效投标报价等于评标基准价时，得该项分值满分60分，每高于1%扣2分，每低于1%扣0.5分</w:t>
            </w:r>
            <w:r>
              <w:rPr>
                <w:rFonts w:ascii="宋体" w:hAnsi="宋体"/>
                <w:sz w:val="24"/>
                <w:szCs w:val="24"/>
                <w:highlight w:val="none"/>
              </w:rPr>
              <w:t>。</w:t>
            </w:r>
            <w:r>
              <w:rPr>
                <w:rFonts w:hint="eastAsia" w:ascii="宋体" w:hAnsi="宋体"/>
                <w:sz w:val="24"/>
                <w:szCs w:val="24"/>
                <w:highlight w:val="none"/>
              </w:rPr>
              <w:t>即：（1）投标报价高于或等于评标基准价时，投标报价得分=投标报价评审总分－（投标报价－评标基准价）/评标基准价×100×2；（2）投标报价低于评标基准价时，投标报价评审总分－（评标基准价－投标报价）/评标基准价×100×0.5。</w:t>
            </w:r>
          </w:p>
        </w:tc>
      </w:tr>
    </w:tbl>
    <w:p>
      <w:pPr>
        <w:pStyle w:val="4"/>
        <w:spacing w:line="440" w:lineRule="exact"/>
        <w:rPr>
          <w:rFonts w:cs="宋体"/>
          <w:color w:val="000000"/>
          <w:highlight w:val="none"/>
        </w:rPr>
      </w:pPr>
      <w:bookmarkStart w:id="326" w:name="_Toc1331"/>
      <w:bookmarkStart w:id="327" w:name="_Toc24434"/>
      <w:bookmarkStart w:id="328" w:name="_Toc26154"/>
      <w:bookmarkStart w:id="329" w:name="_Toc641"/>
      <w:bookmarkStart w:id="330" w:name="_Toc523213619"/>
    </w:p>
    <w:p>
      <w:pPr>
        <w:pStyle w:val="4"/>
        <w:spacing w:line="440" w:lineRule="exact"/>
        <w:rPr>
          <w:rFonts w:cs="宋体"/>
          <w:color w:val="000000"/>
          <w:highlight w:val="none"/>
        </w:rPr>
      </w:pPr>
      <w:r>
        <w:rPr>
          <w:rFonts w:hint="eastAsia" w:cs="宋体"/>
          <w:color w:val="000000"/>
          <w:highlight w:val="none"/>
        </w:rPr>
        <w:t>1. 评标方法</w:t>
      </w:r>
      <w:bookmarkEnd w:id="326"/>
      <w:bookmarkEnd w:id="327"/>
      <w:bookmarkEnd w:id="328"/>
      <w:bookmarkEnd w:id="329"/>
      <w:bookmarkEnd w:id="330"/>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本次评标采用综合评估法。评标委员会对满足招标文件实质性要求的投标文件，按照本章第2.2款规定的评分标准进行打分，并按总得分由高到低顺序推荐中标候选人，或根据招标人授权直接确定中标人。</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若有二家或二家以上的投标人总得分相同时，由招标人自行确认中标人。</w:t>
      </w:r>
    </w:p>
    <w:p>
      <w:pPr>
        <w:pStyle w:val="4"/>
        <w:spacing w:line="440" w:lineRule="exact"/>
        <w:rPr>
          <w:rFonts w:cs="宋体"/>
          <w:color w:val="000000"/>
          <w:highlight w:val="none"/>
        </w:rPr>
      </w:pPr>
      <w:bookmarkStart w:id="331" w:name="_Toc24823"/>
      <w:bookmarkStart w:id="332" w:name="_Toc523213620"/>
      <w:bookmarkStart w:id="333" w:name="_Toc25802"/>
      <w:bookmarkStart w:id="334" w:name="_Toc18164"/>
      <w:bookmarkStart w:id="335" w:name="_Toc7227"/>
      <w:r>
        <w:rPr>
          <w:rFonts w:hint="eastAsia" w:cs="宋体"/>
          <w:color w:val="000000"/>
          <w:highlight w:val="none"/>
        </w:rPr>
        <w:t>2. 评审标准</w:t>
      </w:r>
      <w:bookmarkEnd w:id="331"/>
      <w:bookmarkEnd w:id="332"/>
      <w:bookmarkEnd w:id="333"/>
      <w:bookmarkEnd w:id="334"/>
      <w:bookmarkEnd w:id="335"/>
    </w:p>
    <w:p>
      <w:pPr>
        <w:pStyle w:val="5"/>
        <w:spacing w:line="440" w:lineRule="exact"/>
        <w:rPr>
          <w:rFonts w:cs="宋体"/>
          <w:color w:val="000000"/>
          <w:highlight w:val="none"/>
        </w:rPr>
      </w:pPr>
      <w:bookmarkStart w:id="336" w:name="_Toc4302"/>
      <w:bookmarkStart w:id="337" w:name="_Toc15113"/>
      <w:bookmarkStart w:id="338" w:name="_Toc29307"/>
      <w:bookmarkStart w:id="339" w:name="_Toc18603101"/>
      <w:r>
        <w:rPr>
          <w:rFonts w:hint="eastAsia" w:cs="宋体"/>
          <w:color w:val="000000"/>
          <w:highlight w:val="none"/>
        </w:rPr>
        <w:t>2.1 初步评审标准</w:t>
      </w:r>
      <w:bookmarkEnd w:id="336"/>
      <w:bookmarkEnd w:id="337"/>
      <w:bookmarkEnd w:id="338"/>
      <w:bookmarkEnd w:id="339"/>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2.1.1 形式评审标准：见评标办法前附表。</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2.1.2 资格评审标准：见评标办法前附表。</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2.1.3 响应性评审标准：见评标办法前附表。</w:t>
      </w:r>
    </w:p>
    <w:p>
      <w:pPr>
        <w:pStyle w:val="5"/>
        <w:spacing w:line="440" w:lineRule="exact"/>
        <w:rPr>
          <w:rFonts w:cs="宋体"/>
          <w:b w:val="0"/>
          <w:bCs w:val="0"/>
          <w:color w:val="000000"/>
          <w:highlight w:val="none"/>
        </w:rPr>
      </w:pPr>
      <w:bookmarkStart w:id="340" w:name="_Toc18603102"/>
      <w:bookmarkStart w:id="341" w:name="_Toc24758"/>
      <w:bookmarkStart w:id="342" w:name="_Toc24920"/>
      <w:bookmarkStart w:id="343" w:name="_Toc18399"/>
      <w:r>
        <w:rPr>
          <w:rFonts w:hint="eastAsia" w:cs="宋体"/>
          <w:color w:val="000000"/>
          <w:highlight w:val="none"/>
        </w:rPr>
        <w:t>2.2 详细评审标准</w:t>
      </w:r>
      <w:bookmarkEnd w:id="340"/>
      <w:bookmarkEnd w:id="341"/>
      <w:bookmarkEnd w:id="342"/>
      <w:bookmarkEnd w:id="343"/>
      <w:r>
        <w:rPr>
          <w:rFonts w:hint="eastAsia" w:cs="宋体"/>
          <w:color w:val="000000"/>
          <w:highlight w:val="none"/>
        </w:rPr>
        <w:t>：</w:t>
      </w:r>
      <w:r>
        <w:rPr>
          <w:rFonts w:hint="eastAsia" w:cs="宋体"/>
          <w:b w:val="0"/>
          <w:bCs w:val="0"/>
          <w:color w:val="000000"/>
          <w:highlight w:val="none"/>
        </w:rPr>
        <w:t>见评标办法前附表。</w:t>
      </w:r>
    </w:p>
    <w:p>
      <w:pPr>
        <w:spacing w:line="440" w:lineRule="exact"/>
        <w:ind w:firstLine="482"/>
        <w:rPr>
          <w:rFonts w:ascii="宋体" w:hAnsi="宋体" w:cs="宋体"/>
          <w:color w:val="000000"/>
          <w:sz w:val="24"/>
          <w:szCs w:val="24"/>
          <w:highlight w:val="none"/>
        </w:rPr>
      </w:pPr>
    </w:p>
    <w:p>
      <w:pPr>
        <w:pStyle w:val="4"/>
        <w:spacing w:line="440" w:lineRule="exact"/>
        <w:rPr>
          <w:rFonts w:cs="宋体"/>
          <w:color w:val="000000"/>
          <w:highlight w:val="none"/>
        </w:rPr>
      </w:pPr>
      <w:bookmarkStart w:id="344" w:name="_Toc523213621"/>
      <w:bookmarkStart w:id="345" w:name="_Toc23195"/>
      <w:bookmarkStart w:id="346" w:name="_Toc28996"/>
      <w:bookmarkStart w:id="347" w:name="_Toc4903"/>
      <w:bookmarkStart w:id="348" w:name="_Toc27495"/>
      <w:r>
        <w:rPr>
          <w:rFonts w:hint="eastAsia" w:cs="宋体"/>
          <w:color w:val="000000"/>
          <w:highlight w:val="none"/>
        </w:rPr>
        <w:t>3. 评标程序</w:t>
      </w:r>
      <w:bookmarkEnd w:id="344"/>
      <w:bookmarkEnd w:id="345"/>
      <w:bookmarkEnd w:id="346"/>
      <w:bookmarkEnd w:id="347"/>
      <w:bookmarkEnd w:id="348"/>
    </w:p>
    <w:p>
      <w:pPr>
        <w:pStyle w:val="5"/>
        <w:spacing w:line="440" w:lineRule="exact"/>
        <w:rPr>
          <w:rFonts w:cs="宋体"/>
          <w:color w:val="000000"/>
          <w:highlight w:val="none"/>
        </w:rPr>
      </w:pPr>
      <w:bookmarkStart w:id="349" w:name="_Toc18603104"/>
      <w:bookmarkStart w:id="350" w:name="_Toc25798"/>
      <w:bookmarkStart w:id="351" w:name="_Toc28645"/>
      <w:bookmarkStart w:id="352" w:name="_Toc4390"/>
      <w:r>
        <w:rPr>
          <w:rFonts w:hint="eastAsia" w:cs="宋体"/>
          <w:color w:val="000000"/>
          <w:highlight w:val="none"/>
        </w:rPr>
        <w:t>3.1 评标准备</w:t>
      </w:r>
      <w:bookmarkEnd w:id="349"/>
      <w:bookmarkEnd w:id="350"/>
      <w:bookmarkEnd w:id="351"/>
      <w:bookmarkEnd w:id="352"/>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3.1.1 评标委员会成员签到</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评标委员会成员到达评标现场时应在签到表上签到以证明其出席。</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3.1.2 评标委员会的分工</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由评标委员会首先推选一名评标委员会负责人，评标委员会负责人负责评标活动的组织领导工作，评标委员会负责人在与其他评标委员会成员具有同等表决权。</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3.1.3 熟悉文件资料</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3.1.3.1 评标委员会负责人应组织评标委员会成员认真研究招标文件，了解和熟悉招标目的、服务范围、主要合同条件、技术标准和要求、服务期要求，掌握评标标准和方法，熟悉评标表格的使用。未在招标文件中规定的标准和方法不得作为评标的依据。</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3.1.3.2 评标委员会成员在评标前应当了解招标工程概况及招标文件内容。招标人或其委托的招标代理机构应当向评标委员会提供评标所需的重要信息和相关数据资料，主要包括：</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（一）招标文件；</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（二）未在开标会上当场拒绝的投标文件；</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（三）开标会记录；</w:t>
      </w:r>
    </w:p>
    <w:p>
      <w:pPr>
        <w:pStyle w:val="5"/>
        <w:spacing w:line="440" w:lineRule="exact"/>
        <w:rPr>
          <w:rFonts w:cs="宋体"/>
          <w:color w:val="000000"/>
          <w:highlight w:val="none"/>
        </w:rPr>
      </w:pPr>
      <w:bookmarkStart w:id="353" w:name="_Toc18603105"/>
      <w:bookmarkStart w:id="354" w:name="_Toc13802"/>
      <w:bookmarkStart w:id="355" w:name="_Toc11737"/>
      <w:bookmarkStart w:id="356" w:name="_Toc25496"/>
      <w:r>
        <w:rPr>
          <w:rFonts w:hint="eastAsia" w:cs="宋体"/>
          <w:color w:val="000000"/>
          <w:highlight w:val="none"/>
        </w:rPr>
        <w:t>3.2 初步评审</w:t>
      </w:r>
      <w:bookmarkEnd w:id="353"/>
      <w:bookmarkEnd w:id="354"/>
      <w:bookmarkEnd w:id="355"/>
      <w:bookmarkEnd w:id="356"/>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3.2.2 投标人有以下情形之一的，其投标被否决：</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（1）第二章“投标人须知”第1.4.3项、第1.4.4项规定的任何一种情形的；</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（2）串通投标或弄虚作假或有其他违法行为的；</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1）有下列情形之一的，视为投标人相互串通投标：</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① 不同投标人的投标文件由同一单位或者个人编制；</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② 不同投标人委托同一单位或者个人办理投标事宜；</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③ 不同投标人的投标文件载明的项目管理成员为同一人；</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④ 不同投标人的投标文件异常一致或者投标报价呈规律性差异；</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⑤ 不同投标人的投标文件相互混装；</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2）有下列情形之一的，属于弄虚作假行为：</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① 使用通过受让或者租借等方式获取的资格、资质证书投标的，即以他人名义投标的。</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② 使用伪造、变造的许可证件；</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③ 提供虚假的财务状况或者业绩；</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④ 提供虚假的项目负责人或者主要技术人员简历、劳动关系证明；</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⑤ 提供虚假的信用状况；</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⑥ 其他弄虚作假的行为。</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3.2.3投标报价有算术错误的，评标委员会按以下原则对投标报价进行修正，修正的价格经投标人书面确认后具有约束力。</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投标文件中的大写金额与小写金额不一致的，以大写金额为准；</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3.2.4 评标委员会否决不合格投标后，因有效投标不足三个使得投标明显缺乏竞争的，评标委员会可以否决全部投标。</w:t>
      </w:r>
    </w:p>
    <w:p>
      <w:pPr>
        <w:pStyle w:val="5"/>
        <w:spacing w:line="440" w:lineRule="exact"/>
        <w:rPr>
          <w:rFonts w:cs="宋体"/>
          <w:color w:val="000000"/>
          <w:highlight w:val="none"/>
        </w:rPr>
      </w:pPr>
      <w:bookmarkStart w:id="357" w:name="_Toc18603106"/>
      <w:bookmarkStart w:id="358" w:name="_Toc11764"/>
      <w:bookmarkStart w:id="359" w:name="_Toc14176"/>
      <w:bookmarkStart w:id="360" w:name="_Toc803"/>
      <w:r>
        <w:rPr>
          <w:rFonts w:hint="eastAsia" w:cs="宋体"/>
          <w:color w:val="000000"/>
          <w:highlight w:val="none"/>
        </w:rPr>
        <w:t>3.3 详细评审</w:t>
      </w:r>
      <w:bookmarkEnd w:id="357"/>
      <w:bookmarkEnd w:id="358"/>
      <w:bookmarkEnd w:id="359"/>
      <w:bookmarkEnd w:id="360"/>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评标委员会对通过了初步评审的投标文件进行详细评审。</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3.3.1 综合评审</w:t>
      </w:r>
    </w:p>
    <w:p>
      <w:pPr>
        <w:spacing w:line="440" w:lineRule="exact"/>
        <w:ind w:firstLine="482"/>
        <w:rPr>
          <w:rFonts w:ascii="宋体" w:hAnsi="宋体" w:cs="宋体"/>
          <w:color w:val="000000"/>
          <w:sz w:val="24"/>
          <w:szCs w:val="24"/>
          <w:highlight w:val="none"/>
        </w:rPr>
      </w:pPr>
      <w:bookmarkStart w:id="361" w:name="EBa86d7aa452da4eeda08974dd8b7ba22c"/>
      <w:r>
        <w:rPr>
          <w:rFonts w:hint="eastAsia" w:ascii="宋体" w:hAnsi="宋体" w:cs="宋体"/>
          <w:color w:val="000000"/>
          <w:sz w:val="24"/>
          <w:szCs w:val="24"/>
          <w:highlight w:val="none"/>
        </w:rPr>
        <w:t>评标委员会依据评标办法前附表第2.2.2（2）款规定的评标因素及评审标准进行详细评审，投标人该环节最终得分为各评委评分的算术平均值。</w:t>
      </w:r>
      <w:bookmarkEnd w:id="361"/>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评标委员会成员对各投标人的综合评分为其各分项得分之和。</w:t>
      </w:r>
    </w:p>
    <w:p>
      <w:pPr>
        <w:pStyle w:val="5"/>
        <w:spacing w:line="440" w:lineRule="exact"/>
        <w:rPr>
          <w:rFonts w:cs="宋体"/>
          <w:color w:val="000000"/>
          <w:highlight w:val="none"/>
        </w:rPr>
      </w:pPr>
      <w:bookmarkStart w:id="362" w:name="_Toc18603107"/>
      <w:bookmarkStart w:id="363" w:name="_Toc30757"/>
      <w:bookmarkStart w:id="364" w:name="_Toc20694"/>
      <w:bookmarkStart w:id="365" w:name="_Toc31246"/>
      <w:r>
        <w:rPr>
          <w:rFonts w:hint="eastAsia" w:cs="宋体"/>
          <w:color w:val="000000"/>
          <w:highlight w:val="none"/>
        </w:rPr>
        <w:t>3.4 投标文件的澄清和补正</w:t>
      </w:r>
      <w:bookmarkEnd w:id="362"/>
      <w:bookmarkEnd w:id="363"/>
      <w:bookmarkEnd w:id="364"/>
      <w:bookmarkEnd w:id="365"/>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3.4.2 澄清、说明和补正不得改变投标文件的实质性内容（算术性错误修正的除外）。投标人的书面澄清、说明和补正属于投标文件的组成部分。</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3.4.3 评标委员会对投标人提交的澄清、说明或补正有疑问的，可以要求投标人进一步澄清、说明或补正，直至满足评标委员会的要求。</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3.4.4 投标人拒不按照要求对投标文件进行澄清、说明或者补正的，评标委员会可以在详细评审时按招标文件规定作出不利于投标人的评审或将其投标文件作废标处理。</w:t>
      </w:r>
    </w:p>
    <w:p>
      <w:pPr>
        <w:pStyle w:val="5"/>
        <w:spacing w:line="440" w:lineRule="exact"/>
        <w:rPr>
          <w:rFonts w:cs="宋体"/>
          <w:color w:val="000000"/>
          <w:highlight w:val="none"/>
        </w:rPr>
      </w:pPr>
      <w:bookmarkStart w:id="366" w:name="_Toc18603108"/>
      <w:bookmarkStart w:id="367" w:name="_Toc25748"/>
      <w:bookmarkStart w:id="368" w:name="_Toc8648"/>
      <w:bookmarkStart w:id="369" w:name="_Toc1556"/>
      <w:r>
        <w:rPr>
          <w:rFonts w:hint="eastAsia" w:cs="宋体"/>
          <w:color w:val="000000"/>
          <w:highlight w:val="none"/>
        </w:rPr>
        <w:t>3.5 评标结果</w:t>
      </w:r>
      <w:bookmarkEnd w:id="366"/>
      <w:bookmarkEnd w:id="367"/>
      <w:bookmarkEnd w:id="368"/>
      <w:bookmarkEnd w:id="369"/>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3.5.1 除第二章“投标人须知”前附表授权直接确定中标人外，评标委员会按总得分由高到低顺序推荐中标候选人。</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3.5.2 评标委员会完成评标后，应当向招标人提交书面评标报告。</w:t>
      </w:r>
    </w:p>
    <w:p>
      <w:pPr>
        <w:pStyle w:val="4"/>
        <w:spacing w:line="440" w:lineRule="exact"/>
        <w:rPr>
          <w:rFonts w:cs="宋体"/>
          <w:color w:val="000000"/>
          <w:highlight w:val="none"/>
        </w:rPr>
      </w:pPr>
      <w:bookmarkStart w:id="370" w:name="_Toc13872"/>
      <w:bookmarkStart w:id="371" w:name="_Toc523213622"/>
      <w:bookmarkStart w:id="372" w:name="_Toc22643"/>
      <w:bookmarkStart w:id="373" w:name="_Toc22691"/>
      <w:bookmarkStart w:id="374" w:name="_Toc31583"/>
    </w:p>
    <w:p>
      <w:pPr>
        <w:pStyle w:val="4"/>
        <w:spacing w:line="440" w:lineRule="exact"/>
        <w:rPr>
          <w:rFonts w:cs="宋体"/>
          <w:color w:val="000000"/>
          <w:highlight w:val="none"/>
        </w:rPr>
      </w:pPr>
      <w:r>
        <w:rPr>
          <w:rFonts w:hint="eastAsia" w:cs="宋体"/>
          <w:color w:val="000000"/>
          <w:highlight w:val="none"/>
        </w:rPr>
        <w:t>4. 特殊情况的处置程序</w:t>
      </w:r>
      <w:bookmarkEnd w:id="370"/>
      <w:bookmarkEnd w:id="371"/>
      <w:bookmarkEnd w:id="372"/>
      <w:bookmarkEnd w:id="373"/>
      <w:bookmarkEnd w:id="374"/>
    </w:p>
    <w:p>
      <w:pPr>
        <w:pStyle w:val="5"/>
        <w:spacing w:line="440" w:lineRule="exact"/>
        <w:rPr>
          <w:rFonts w:cs="宋体"/>
          <w:color w:val="000000"/>
          <w:highlight w:val="none"/>
        </w:rPr>
      </w:pPr>
      <w:bookmarkStart w:id="375" w:name="_Toc18603110"/>
      <w:bookmarkStart w:id="376" w:name="_Toc17087"/>
      <w:bookmarkStart w:id="377" w:name="_Toc29165"/>
      <w:bookmarkStart w:id="378" w:name="_Toc19551"/>
      <w:r>
        <w:rPr>
          <w:rFonts w:hint="eastAsia" w:cs="宋体"/>
          <w:color w:val="000000"/>
          <w:highlight w:val="none"/>
        </w:rPr>
        <w:t>4.1 关于评标活动暂停</w:t>
      </w:r>
      <w:bookmarkEnd w:id="375"/>
      <w:bookmarkEnd w:id="376"/>
      <w:bookmarkEnd w:id="377"/>
      <w:bookmarkEnd w:id="378"/>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4.1.1 评标委员会应当执行连续评标的原则，按评标办法中规定的程序、内容、方法、标准完成全部评标工作。只有发生不可抗力导致评标工作无法继续时，评标活动方可暂停。</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4.1.2 发生评标暂停情况时，评标委员会应当封存全部投标文件和评标记录，待不可抗力的影响结束且具备继续评标的条件时，由原评标委员会继续评标。</w:t>
      </w:r>
    </w:p>
    <w:p>
      <w:pPr>
        <w:pStyle w:val="5"/>
        <w:spacing w:line="440" w:lineRule="exact"/>
        <w:rPr>
          <w:rFonts w:cs="宋体"/>
          <w:color w:val="000000"/>
          <w:highlight w:val="none"/>
        </w:rPr>
      </w:pPr>
      <w:bookmarkStart w:id="379" w:name="_Toc18603111"/>
      <w:bookmarkStart w:id="380" w:name="_Toc7635"/>
      <w:bookmarkStart w:id="381" w:name="_Toc31665"/>
      <w:bookmarkStart w:id="382" w:name="_Toc4076"/>
      <w:r>
        <w:rPr>
          <w:rFonts w:hint="eastAsia" w:cs="宋体"/>
          <w:color w:val="000000"/>
          <w:highlight w:val="none"/>
        </w:rPr>
        <w:t>4.2 关于评标中途更换评标委员会成员</w:t>
      </w:r>
      <w:bookmarkEnd w:id="379"/>
      <w:bookmarkEnd w:id="380"/>
      <w:bookmarkEnd w:id="381"/>
      <w:bookmarkEnd w:id="382"/>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4.2.1 除非发生下列情况之一，评标委员会成员不得在评标中途更换：</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(1) 因不可抗拒的客观原因，不能到场或需在评标中途退出评标活动。</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(2) 根据法律法规规定，某个或某几个评标委员会成员需要回避。</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4.2.2 退出评标的评标委员会成员，其已完成的评标行为无效。由招标人根据本招标文件规定的评标委员会成员生产方式另行确定替代者进行评标。</w:t>
      </w:r>
    </w:p>
    <w:p>
      <w:pPr>
        <w:pStyle w:val="5"/>
        <w:spacing w:line="440" w:lineRule="exact"/>
        <w:rPr>
          <w:rFonts w:cs="宋体"/>
          <w:color w:val="000000"/>
          <w:highlight w:val="none"/>
        </w:rPr>
      </w:pPr>
      <w:bookmarkStart w:id="383" w:name="_Toc18603112"/>
      <w:bookmarkStart w:id="384" w:name="_Toc15256"/>
      <w:bookmarkStart w:id="385" w:name="_Toc28655"/>
      <w:bookmarkStart w:id="386" w:name="_Toc1544"/>
      <w:r>
        <w:rPr>
          <w:rFonts w:hint="eastAsia" w:cs="宋体"/>
          <w:color w:val="000000"/>
          <w:highlight w:val="none"/>
        </w:rPr>
        <w:t>4.3 评标争议处理</w:t>
      </w:r>
      <w:bookmarkEnd w:id="383"/>
      <w:bookmarkEnd w:id="384"/>
      <w:bookmarkEnd w:id="385"/>
      <w:bookmarkEnd w:id="386"/>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4.3.1 评标委员会全体成员应独立评审，对所提出的评审意见承担个人责任。</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40" w:lineRule="exact"/>
        <w:ind w:firstLine="482"/>
        <w:rPr>
          <w:rFonts w:ascii="宋体" w:hAnsi="宋体" w:cs="宋体"/>
          <w:color w:val="000000"/>
          <w:sz w:val="24"/>
          <w:szCs w:val="24"/>
          <w:highlight w:val="none"/>
        </w:rPr>
      </w:pPr>
      <w:r>
        <w:rPr>
          <w:rFonts w:hint="eastAsia" w:ascii="宋体" w:hAnsi="宋体" w:cs="宋体"/>
          <w:color w:val="000000"/>
          <w:sz w:val="24"/>
          <w:szCs w:val="24"/>
          <w:highlight w:val="non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3"/>
        <w:pageBreakBefore/>
        <w:rPr>
          <w:rFonts w:cs="宋体"/>
          <w:color w:val="000000"/>
          <w:highlight w:val="none"/>
        </w:rPr>
      </w:pPr>
      <w:bookmarkStart w:id="387" w:name="EBc7bd10bc363a411c8a388fc52443158e"/>
      <w:bookmarkEnd w:id="387"/>
      <w:bookmarkStart w:id="388" w:name="_Toc522293526"/>
      <w:bookmarkStart w:id="389" w:name="_Toc23437"/>
      <w:bookmarkStart w:id="390" w:name="_Toc9663"/>
      <w:bookmarkStart w:id="391" w:name="_Toc20869"/>
      <w:bookmarkStart w:id="392" w:name="_Toc16569"/>
      <w:r>
        <w:rPr>
          <w:rFonts w:hint="eastAsia" w:cs="宋体"/>
          <w:color w:val="000000"/>
          <w:highlight w:val="none"/>
        </w:rPr>
        <w:t>第四章  合同条款及格式</w:t>
      </w:r>
      <w:bookmarkEnd w:id="388"/>
      <w:bookmarkEnd w:id="389"/>
      <w:bookmarkEnd w:id="390"/>
      <w:bookmarkEnd w:id="391"/>
      <w:bookmarkEnd w:id="392"/>
    </w:p>
    <w:p>
      <w:pPr>
        <w:spacing w:line="360" w:lineRule="exact"/>
        <w:ind w:firstLine="643" w:firstLineChars="200"/>
        <w:jc w:val="center"/>
        <w:rPr>
          <w:rFonts w:ascii="宋体" w:hAnsi="宋体" w:cs="宋体"/>
          <w:b/>
          <w:sz w:val="32"/>
          <w:szCs w:val="32"/>
          <w:highlight w:val="none"/>
        </w:rPr>
      </w:pPr>
      <w:r>
        <w:rPr>
          <w:rFonts w:hint="eastAsia" w:ascii="宋体" w:hAnsi="宋体" w:cs="宋体"/>
          <w:b/>
          <w:sz w:val="32"/>
          <w:szCs w:val="32"/>
          <w:highlight w:val="none"/>
        </w:rPr>
        <w:t>保洁服务承包合同</w:t>
      </w: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甲方：湖北天元物业管理有限公司</w:t>
      </w:r>
    </w:p>
    <w:p>
      <w:pPr>
        <w:spacing w:line="360" w:lineRule="exact"/>
        <w:ind w:firstLine="482" w:firstLineChars="200"/>
        <w:rPr>
          <w:rFonts w:ascii="宋体" w:hAnsi="宋体" w:cs="宋体"/>
          <w:sz w:val="24"/>
          <w:szCs w:val="24"/>
          <w:highlight w:val="none"/>
          <w:u w:val="single"/>
        </w:rPr>
      </w:pPr>
      <w:r>
        <w:rPr>
          <w:rFonts w:hint="eastAsia" w:ascii="宋体" w:hAnsi="宋体" w:cs="宋体"/>
          <w:b/>
          <w:sz w:val="24"/>
          <w:szCs w:val="24"/>
          <w:highlight w:val="none"/>
        </w:rPr>
        <w:t>乙方</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根据《中华人民共和国民法典》及相关法律、法规的规定，甲、乙双方经友好协商，就宜昌东站物流中心驻场保洁服务项目达成协议如下：</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一、保洁服务项目</w:t>
      </w:r>
    </w:p>
    <w:p>
      <w:pPr>
        <w:spacing w:line="360" w:lineRule="exact"/>
        <w:ind w:firstLine="480" w:firstLineChars="200"/>
        <w:rPr>
          <w:rFonts w:ascii="宋体" w:cs="宋体"/>
          <w:sz w:val="24"/>
          <w:szCs w:val="24"/>
          <w:highlight w:val="none"/>
          <w:lang w:val="zh-CN"/>
        </w:rPr>
      </w:pPr>
      <w:r>
        <w:rPr>
          <w:rFonts w:hint="eastAsia" w:ascii="宋体" w:cs="宋体"/>
          <w:sz w:val="24"/>
          <w:szCs w:val="24"/>
          <w:highlight w:val="none"/>
          <w:lang w:val="zh-CN"/>
        </w:rPr>
        <w:t>宜昌东站物流中心园区及其附属区域的保洁服务</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二、保洁服务内容：</w:t>
      </w:r>
      <w:r>
        <w:rPr>
          <w:rFonts w:hint="eastAsia" w:ascii="宋体" w:hAnsi="宋体" w:cs="宋体"/>
          <w:b/>
          <w:sz w:val="24"/>
          <w:szCs w:val="24"/>
          <w:highlight w:val="none"/>
        </w:rPr>
        <w:t>（包括但不限于以下内容）</w:t>
      </w: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招商中心：</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办公楼内楼梯（含扶手）、卫生间、公共区域地面、大门、墙面、玻璃墙、天花板、书记办公室、总经理办公室、副总经理办公室、盆景、水景、展览陈列、绿地、设施设备等内部其他单间办公室以外所有部分的卫生。</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2、招商中心外围停车场、通道、绿化带、花坛、精神堡垒、7米以下灯具照明装饰设备、指示牌等所有设施设备的卫生。</w:t>
      </w: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公铁联运港：</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1、公铁联运港公共区域所有室外地面的卫生；</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2、1#库、原3#、原4#物业及2#、5#库场内公共区域及公用设施的卫生，含卫生间及楼梯；楼梯包括地面台阶、扶手、窗台、消防管道、照明灯具、应急灯、指示牌、防火门卫生；</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3、1#库、2#库电梯的卫生，包括电梯门（含卡槽）、轿厢地面、轿厢壁、轿厢内灯具、天花板、排风口、摄像头；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4、现有8#库、9#库、11#库及2#库一楼内的公共卫生间的卫生，包括地面、墙面、天花板、洗手台、镜子、蹲位、小便池、水箱、水龙头、间隔板；</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5、公铁联运港园区所有垃圾的收运；</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6、排水沟定期清淤，原3#物业化粪池定期清淤；</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7、公铁联运港园区7米以下堡坎墙壁、墙角及公共道路边杂草杂木的清除。</w:t>
      </w: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汽车城：</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1、一楼、二楼、三楼、四楼天台所有通道的地面卫生；</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2、前后周围停车场、广场、绿化带、花坛、水池水景、7米以下照明灯具、广场及所含设施、设备的卫生；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3、所有单元卫生间（具体数量以最终实物为准）的卫生；</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4、1-10单元各单元楼梯间（含地面、扶手、墙面、墙台、防火门、消防管道、照明灯具、应急灯、指示牌）的卫生，楼梯间蚊蝇虫鼠定期消杀；</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5、普通客梯及观光电梯的卫生，包括电梯的玻璃内外墙及所含设施、设备；</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6、园区垃圾的收运，所有垃圾桶及果皮箱的定期清洗及消毒，垃圾池的消杀及维护；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7、物业办公室门面、地面、墙面（含玻璃内外墙）、天花板、盆景、空调、沙发、文件柜、灯具及公用设备设施的卫生；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8、园区所有公用设施设备、消防栓、消防设施管道、防火门、各种开关、电井箱、通风窗、灯具、各种标识指示牌的卫生；</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9、园区公共建筑内外墙面、天花板蜘蛛网，建筑台面灰尘的定期清除。</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注：</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（1）本合同中所包含的设施设备包括现有的设施设备和以后添置或更换的设施设备及标识牌。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（2）办公区域的保洁员在日常保洁时，有义务在下班时关闭所有办公水电、空调和风机开关、大门等。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（3）乙方需免费提供满足以上作业要求的室内垃圾篓和室外垃圾桶并实行垃圾袋装化。</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（4）若甲方对以上保洁服务内容作适当变动，乙方原则上应服从甲方的安排；若有较大变动，甲乙双方可协商解决。</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三、合同期限</w:t>
      </w:r>
    </w:p>
    <w:p>
      <w:pPr>
        <w:spacing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本合同期限为2年。自   年   月   日起至   年   月   日止。</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四、保洁服务费用及支付时间和方式</w:t>
      </w:r>
    </w:p>
    <w:p>
      <w:pPr>
        <w:spacing w:line="360" w:lineRule="exact"/>
        <w:ind w:firstLine="482" w:firstLineChars="200"/>
        <w:rPr>
          <w:rFonts w:ascii="宋体" w:hAnsi="宋体" w:cs="宋体"/>
          <w:sz w:val="24"/>
          <w:szCs w:val="24"/>
          <w:highlight w:val="none"/>
        </w:rPr>
      </w:pPr>
      <w:r>
        <w:rPr>
          <w:rFonts w:hint="eastAsia" w:ascii="宋体" w:hAnsi="宋体" w:cs="宋体"/>
          <w:b/>
          <w:sz w:val="24"/>
          <w:szCs w:val="24"/>
          <w:highlight w:val="none"/>
        </w:rPr>
        <w:t>本合同为总价包干合同</w:t>
      </w:r>
      <w:r>
        <w:rPr>
          <w:rFonts w:hint="eastAsia" w:ascii="宋体" w:hAnsi="宋体" w:cs="宋体"/>
          <w:sz w:val="24"/>
          <w:szCs w:val="24"/>
          <w:highlight w:val="none"/>
        </w:rPr>
        <w:t>，保洁服务费为每月人民币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元整）×24个月，共计人民币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元整）（保洁服务费为含税价）。</w:t>
      </w: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甲方按月度向乙方结算，乙方第一个月的保洁服务完成后，甲方于次月前10个工作日内（遇节假日顺延）为乙方办理上月保洁服务费支付手续，并在25日前以转账方式向乙方支付保洁服务费，依此类推。若乙方在保洁服务过程中未达到合同及附件中规定的质量要求而被甲方予以扣分的，扣分的分值所折算的金额直接从本月度的保洁服务费中扣除，考核表附在发票后，保洁服务费用需经甲方签字确认后才予以支付。乙方的保洁服务人员配备标准不符合甲方规定要求的按300元/人/月从保洁服务费中扣除。</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乙方在服务中使用的一切用品用具、耗材（如垃圾袋等）、容器（如垃圾桶等）、防暑降温保障、公共卫生等所需要的一切费用均由乙方负责承担。</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五、履约保证金</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中标人在与招标人签订保洁服务合同前，乙方应向甲方缴纳</w:t>
      </w:r>
      <w:r>
        <w:rPr>
          <w:rFonts w:hint="eastAsia" w:ascii="宋体" w:hAnsi="宋体" w:cs="宋体"/>
          <w:sz w:val="24"/>
          <w:szCs w:val="24"/>
          <w:highlight w:val="none"/>
          <w:u w:val="single"/>
        </w:rPr>
        <w:t>￥_50000_元</w:t>
      </w:r>
      <w:r>
        <w:rPr>
          <w:rFonts w:hint="eastAsia" w:ascii="宋体" w:hAnsi="宋体" w:cs="宋体"/>
          <w:sz w:val="24"/>
          <w:szCs w:val="24"/>
          <w:highlight w:val="none"/>
        </w:rPr>
        <w:t>（人民币伍万元整）的履约保证金，方可进场。该保证金用于保证乙方可能发生的违约金、赔偿金和所欠交的费用。合同期内若因乙方原因发生扣减保证金的情况，乙方应在发生扣减的当月补足至</w:t>
      </w:r>
      <w:r>
        <w:rPr>
          <w:rFonts w:hint="eastAsia" w:ascii="宋体" w:hAnsi="宋体" w:cs="宋体"/>
          <w:sz w:val="24"/>
          <w:szCs w:val="24"/>
          <w:highlight w:val="none"/>
          <w:u w:val="single"/>
        </w:rPr>
        <w:t>人民币伍万元整</w:t>
      </w:r>
      <w:r>
        <w:rPr>
          <w:rFonts w:hint="eastAsia" w:ascii="宋体" w:hAnsi="宋体" w:cs="宋体"/>
          <w:sz w:val="24"/>
          <w:szCs w:val="24"/>
          <w:highlight w:val="none"/>
        </w:rPr>
        <w:t xml:space="preserve">_，直至合同终了。合同期满若乙方无违约行为，履约保证金由甲方一次性不计息退还给乙方。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六、保洁服务要求及考核标准：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（一）保洁服务要求</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1、乙方员工按规定时间进行相关保洁服务，汽车城通道卫生必须在上午9点半以前完成。</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上岗保洁人员实行上下班签到报岗制，招商中心、公铁联运港、汽车城A区、B区保洁人员分别向各区域该时段值班安保报岗签到，分管保洁负责人根据岗位分布进行在岗作业抽查，迟到或者早退按照每人次每5分钟2分考核，报岗后未及时到作业岗进行作业另按照每次2分考核，并做好记录；保洁卫生未达到要求按照每次2分考核。</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3、每天早8：30前，乙方驻甲方卫生主管须到甲方物业办公室签到，同分管保洁负责人对卫生进行全面日检查。在卫生检查过程中，甲方分管保洁负责人可以根据合同约定向保洁公司下达违约通知。</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4、乙方的作业时间为每天</w:t>
      </w:r>
      <w:r>
        <w:rPr>
          <w:rFonts w:hint="eastAsia" w:ascii="宋体" w:hAnsi="宋体" w:cs="宋体"/>
          <w:sz w:val="24"/>
          <w:szCs w:val="24"/>
          <w:highlight w:val="none"/>
          <w:u w:val="single"/>
        </w:rPr>
        <w:t>早上7：00至晚上18：00</w:t>
      </w:r>
      <w:r>
        <w:rPr>
          <w:rFonts w:hint="eastAsia" w:ascii="宋体" w:hAnsi="宋体" w:cs="宋体"/>
          <w:sz w:val="24"/>
          <w:szCs w:val="24"/>
          <w:highlight w:val="none"/>
        </w:rPr>
        <w:t>（包括星期六和星期天以及法定节假日），五一、十一黄金周、春节期间乙方的服务时间由甲方临时指定，乙方应无条件配合和接受，但甲方的临时指定和安排必须合情合理，乙方根据甲方的要求自行安排保洁人员完成任务。</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5、乙方对建筑物内外墙蜘蛛网及灰尘进行全面的清洗打扫，每日对地面的油渍进行全面彻底的处理。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6、乙方对室内外天花板、所有墙面、地面、玻璃、门窗、扶手、洗手台、消防应急照明、灭火器、消防箱（内外）、消防栓（内外）等器材、设施设备、使用专业的清洁剂进行清洁保养，确保清洁区域光亮、无尘、无水渍、无污迹。</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7、对保洁范围内的野广告及时清除，确保无野广告。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8、乙方员工须穿由乙方提供的统一的工作服和佩戴工作证，临时加班或顶班人员按标准要求统一着装。</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9、乙方必须严格执行好甲方针对以下情况所制定的相关应急措施，该应急措施作为本合同的附件一。</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10、春节前后、五一、十一等节假日黄金周高峰期或园区有重大活动，乙方应甲方要求无偿增加人员，延长服务时间，以确保保洁质量。</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11、恶劣天气（暴风雨、下雪等天气）过后及时清除积水、污泥沙。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12、停电、停水后的应急预案（储水容器满足保洁要求）。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13、乙方必须避开在客流高峰时段进行大面积机械作业，在履行正常保洁职责的前提下，甲方不认为乙方在客流高峰时段未履行职责。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14、乙方在施工时，必须在施工现场放置警示牌，以提示他人。</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15、对于保洁区域内的烟头、杂物等垃圾，或者经甲方检查卫生发现的不合格现象， 属于室内保洁区域的，乙方的响应时间不超过五分钟；属于室外保洁区域的，响应时间不超过十分钟。乙方保洁人员应在保洁责任区域范围内立足现场，及时保洁；超过时间将按甲方制定的《环境卫生作业考核标准》进行考核。（附件二）</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16、乙方有义务保护好所有作业范围内与作业有关的设施、设备完好，乙方员工在服务中损坏的甲方设施、设备应由乙方照价赔偿。乙方有及时制止破坏设施设备、有损环境卫生的不文明行为的义务。（备注：由于人为因素损坏的设施设备，如乙方发现了，但没有及时制止并报告甲方的，应由乙方负责修理、按照甲方使用的品牌进行更换，修理、更换所需费用由乙方承担；如果卫生间设施、设备由于自然因素损坏（表面无损坏痕迹但又不能发挥设施、设备应有的功能效果），乙方发现后应及时向甲方报告，由甲方负责修理、更换，修理、更换所需费用由甲方承担）。</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17、对卫生间设施设备实行交接制度，若乙方不履行交接，出现的设施设备受损则由乙方负责。若非乙方原因而引起的下水管道堵塞，或非乙方原因而引起的设施设备损坏，乙方应及时向甲方报告，并作好记录，由甲方负责下水管道疏通、修理相关设施设备。</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18、乙方保洁人员含主管应不少于21人，乙方主管休息期间， 乙方必须派专人负责其日常管理职责。乙方应向甲方提供保洁人员配备表（保洁区域、内容、人数、服务时间）并作为本合同的附件三。乙方应严格按照该表的人员配备执行，若因乙方自身原因造成岗位减少的，应及时调派，配齐岗位人员，超过3天缺岗的，可追究乙方的违约责任。乙方保洁服务人员上岗前必须向甲方报岗，报岗方式由双方具体商议。</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19、乙方应根据甲方制定的日、周、月、季度、半年、年度的保洁内容严格执行，甲方将按照附件四的内容，对乙方的周期性保洁服务进行严格检查，并填写《保洁检查记录本》，经甲乙双方签字确认的月度及以上保洁检查记录表的复印件需附在每月保洁费用结算凭证后，没有达到要求的，严格考核。作业区域内所有卫生间、楼梯、电梯，所有地面、建筑物墙内外蜘蛛网和灰尘等都需要周期性保洁。（附件四）</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20、所有室外垃圾桶要求垃圾袋装化，破损垃圾桶应及时更换；卫生间的尿垢、污迹应及时清除，地面需保持干燥，不可见明水，卫生间均保证早上7点至晚上18 点需燃烧檀香。卫生间便池内无烟头，烟头及时清扫，避免下水道堵塞，乙方保洁人员要及时有效劝阻吸烟行为。</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（二）保洁服务考核标准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b/>
          <w:sz w:val="24"/>
          <w:szCs w:val="24"/>
          <w:highlight w:val="none"/>
        </w:rPr>
        <w:t>甲方对乙方的服务质量进行不定时的监督、检查，并按标准做好记录，每月公布考核结果，考核扣分的分值所折算的金额（一分考核扣款（100元）大写壹佰元人民币）直接从每月保洁服务费用中扣除</w:t>
      </w:r>
      <w:r>
        <w:rPr>
          <w:rFonts w:hint="eastAsia" w:ascii="宋体" w:hAnsi="宋体" w:cs="宋体"/>
          <w:sz w:val="24"/>
          <w:szCs w:val="24"/>
          <w:highlight w:val="none"/>
        </w:rPr>
        <w:t>。</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2、甲方根据乙方每天的保洁服务人员据实结算保洁服务费用，缺勤人次对应的保洁服务费用直接从每月保洁服务费用中扣除。</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3、其它违反甲方规定的行为违约金参照甲方相关制度执行，直接从每月保洁服务费用中扣除。</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七、甲乙双方权利义务</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（一）甲方权利和义务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1、甲方本着实事求是的原则每天有权对乙方保洁质量进行不定时的监督、检查，发现不符合考核标准的，有权对乙方进行考核量分，并通知乙方驻场主管。</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2、若乙方员工有在甲方场所寻衅滋事、先行动手打人、偷窃财物、赌博者，甲方有权对乙方扣除500-1000元的违约金并要求乙方辞退更换相关员工，对情节严重者依法追究法律责任。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3、如果乙方员工的不良行为给甲方造成声誉影响，甲方有权要求乙方随时更换该员工，由此产生的损失甲方可要求乙方进行经济赔偿。</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4、甲方依据实际情况向乙方无偿提供安全有效的取水、用电资源，乙方应合理利用资源，甲方发现乙方有浪费甲方水电资源的（如取水龙头的水长流）行为，甲方有权对乙方扣除100-500元的违约金。</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5、甲方有义务教育甲方员工遵守清洁卫生要求，服从有关管理，共同维护环境卫生。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6、在合同存续期间，甲方分别在公铁联运港、汽车城A区提供工具室一间，供其存放设备及充电使用，各类劳动工具不得在无人使用的情况下，放置在公共场所的醒目位置。乙方的保洁工具自行保管，若发生损坏或丢失，甲方概不负责。工具室仅作存放设备及办公用，不得用于居住生活，否则甲方有权按站方当时的租金价格水平向乙方收取租金。乙方在工具室内需安装电器的，应提前向甲方报备，经甲方检查发现乙方有使用未报备电器行为的，乙方应按每次500—1000元向甲方交付违约金。甲方每月向乙方无偿提供</w:t>
      </w:r>
      <w:r>
        <w:rPr>
          <w:rFonts w:hint="eastAsia" w:ascii="宋体" w:hAnsi="宋体" w:cs="宋体"/>
          <w:sz w:val="24"/>
          <w:szCs w:val="24"/>
          <w:highlight w:val="none"/>
          <w:u w:val="single"/>
        </w:rPr>
        <w:t>400度</w:t>
      </w:r>
      <w:r>
        <w:rPr>
          <w:rFonts w:hint="eastAsia" w:ascii="宋体" w:hAnsi="宋体" w:cs="宋体"/>
          <w:sz w:val="24"/>
          <w:szCs w:val="24"/>
          <w:highlight w:val="none"/>
        </w:rPr>
        <w:t>电以保障乙方正常作业需要，超过限额的，乙方应按0.6907元/度向甲方交付电费。</w:t>
      </w: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注：乙方在甲方东站物流中心场区作业的保洁人员与甲方无任何雇佣关系，乙方保洁人员所涉及的安全责任与甲方无关。</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（二）乙方的权利和义务</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1、乙方有自行制定服务管理制度和方法的权利，但需报甲方备案。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2、乙方的驻场管理人员及员工必须和甲方保持密切的联系，并且每天无条件的接受和配合甲方对保洁质量进行的日常考核。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3、未经甲方书面同意，乙方不得将本合同约定的保洁服务项目以直接或间接的方式转包或分包给第三方及其他个人。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4、乙方须将各类保洁工具存放在甲方所提供的管理用房内，不得损坏甲方财产。若损坏甲方的财产应照价赔偿。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5、乙方员工在保洁作业过程中应遵照规程谨慎操作。若因乙方不恰当操作而导致甲方设施设备损坏的，乙方应按折旧比例赔偿；导致甲方房屋基础设施（如墙砖、地砖等）损坏的，乙方应按实际损失赔偿。</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6、乙方所有员工必须遵守甲方相关的规章制度和劳动纪律，严禁在甲方的保洁服务区域内聚集闲谈、吸烟、饮酒、赌博、吸毒以及向他人索取钱财等违规违法的行为发生。</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7、乙方员工在做好清洁服务的同时，必须遵守甲方服务规范和管理制度，配合维护好甲方的整体形象。</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8、乙方员工在服务场所内不得无故与任何人员发生不良纠纷，若纠纷责任属于乙方而引起的损失由乙方负责承担。</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9、乙方员工在服务期间因工或非因工造成的自身伤亡及财产损失由乙方自己负责承担，因乙方责任而造成甲方人员伤亡及财产损失、客户伤亡及财产损失以及其他人员伤亡及财产损失，均由乙方负责承担。若因法律原因致甲方先行承担责任的，乙方应全额赔偿甲方。</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10、乙方员工在服务过程中形成安全隐患（如地面太滑等），而乙方又没有尽到提醒责任从而造成的人员伤亡和财产损失的事故由乙方负责承担。</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11、乙方员工不得从事与甲方人员或第三方客户业务相关的工作（如招商、代销售等），但应礼貌地如实回答客户的咨询。</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12、乙方员工不得以个人或甲方的名义在园区从事与甲方经营有关的任何行为；乙方员工不得在园区内接商户保洁相关的私活，不得擅自在园区内收捡破旧废弃物。</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13、乙方必须确保所有员工精神面貌良好，仪表端正、头发整齐，制服干净，统一服装。</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14、乙方在甲方场所使用的保洁服务人员，必须按国家相关规定为其足额缴纳法律规定的工伤保险以及购买意外险。</w:t>
      </w:r>
    </w:p>
    <w:p>
      <w:pPr>
        <w:spacing w:line="360" w:lineRule="exact"/>
        <w:ind w:firstLine="480" w:firstLineChars="200"/>
        <w:rPr>
          <w:rFonts w:hint="eastAsia" w:ascii="宋体" w:hAnsi="宋体" w:cs="宋体"/>
          <w:sz w:val="24"/>
          <w:szCs w:val="24"/>
          <w:highlight w:val="none"/>
        </w:rPr>
      </w:pPr>
      <w:r>
        <w:rPr>
          <w:rFonts w:hint="eastAsia" w:cs="宋体"/>
          <w:sz w:val="24"/>
          <w:highlight w:val="none"/>
        </w:rPr>
        <w:t>15、</w:t>
      </w:r>
      <w:r>
        <w:rPr>
          <w:rFonts w:hint="eastAsia" w:ascii="宋体" w:hAnsi="宋体" w:cs="宋体"/>
          <w:sz w:val="24"/>
          <w:szCs w:val="24"/>
          <w:highlight w:val="none"/>
        </w:rPr>
        <w:t>保洁公司安排保洁总人数（以投标实际人数为准），乙方拟派保洁人员女性年龄53岁以下、男性年龄58岁以下；保洁人员基本信息在天元物业备案，人员更换后及时报备。</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八、违约责任：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1、甲方知晓不能按时供电、供水，没有及时通知乙方，导致乙方的保洁服务不能及时完成，乙方可以免责。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乙方的服务质量因达不到甲方的检查标准而导致扣分，日累计扣分达20分以上（含20分），甲方向乙方下达整改通知书，乙方必须进行整改；连续三日每日扣分均达到20分以上（含20分），月累计扣分达100分以上（含100分），甲方有权单方面解除合同，并且甲方有权向乙方追缴本合同标的总额百分之十五（15%）的违约金。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乙方若未经甲方的书面同意，擅自将本合同约定的保洁服务项目以直接或间接的方式转包或分包给第三人及其他个人，甲方有权单方解除合同，并且甲方有权向乙方追缴本合同标的总额百分之十五（15%）的违约金。</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乙方员工因服务失职或未尽职责，做出有损甲方形象信誉的事情，被客户投诉或导致媒体曝光，或致有关部门通报整改的，乙方必须采取整改措施，在媒体上恢复甲方的形象信誉损失，并且甲方有权视情节轻重而向乙方处以违约金500-1000元，情节严重，甲方可终止合同。</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5、除本同中约定的单方面解除合同的情形外，若甲乙双方中任何一方需要提前终止合同的，必须提前一个月以书面形式通知对方，并且必须取得对方同意，才能解除合同。否则视为违约，并且违约方必须向对缴纳本合同的总额百分之十五（15%）的违约金。</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6、乙方员工若从事与甲方人员业务相关的工作（如招商等）、以个人或甲方的名义在园区内外从事与甲方经营或第三方客户业务有关的任何行为，甲方有权要求乙方更换该员工，并向乙方追缴本合同标的总额百分之十（10%）的违约金。</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7、若经甲方检查发现，乙方未按照保洁人员配备表的约定，擅自减人减岗，甲方可视为乙方违约。甲方有权单方解除合同并向乙方追缴本合同标的总额百分之十五（15%）的违 约金。</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8、若乙方保洁质量达不到《环境卫生作业考核标准》或月度考核扣分达到100分，甲方有权单方面解除合同、其他具体的违约规则按照《环境卫生作业考核标准》进行执行。</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九、甲方每月收到乙方开具的增值税专用发票后以转帐方式支付保洁服务费，双方账户信息如下：</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甲方：开户名：</w:t>
      </w:r>
      <w:r>
        <w:rPr>
          <w:rFonts w:hint="eastAsia" w:ascii="宋体" w:cs="宋体"/>
          <w:color w:val="000000"/>
          <w:sz w:val="24"/>
          <w:szCs w:val="24"/>
          <w:highlight w:val="none"/>
          <w:lang w:val="zh-CN"/>
        </w:rPr>
        <w:t>湖北天元物业管理有限公司</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纳税人识别号：</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地址：</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电话：</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开户行：</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银行帐号：</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乙方：开户名：</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开户行：</w:t>
      </w:r>
    </w:p>
    <w:p>
      <w:pPr>
        <w:spacing w:line="360" w:lineRule="exact"/>
        <w:ind w:firstLine="1200" w:firstLineChars="500"/>
        <w:rPr>
          <w:rFonts w:ascii="宋体" w:hAnsi="宋体" w:cs="宋体"/>
          <w:sz w:val="24"/>
          <w:szCs w:val="24"/>
          <w:highlight w:val="none"/>
        </w:rPr>
      </w:pPr>
      <w:r>
        <w:rPr>
          <w:rFonts w:hint="eastAsia" w:ascii="宋体" w:hAnsi="宋体" w:cs="宋体"/>
          <w:sz w:val="24"/>
          <w:szCs w:val="24"/>
          <w:highlight w:val="none"/>
        </w:rPr>
        <w:t xml:space="preserve">账户：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十、 争议解决方法</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如果甲乙双方在履行合同的过程中发生争议，可通过友好协商的方式解决，如果通过协商不能解决的，可直接向甲方所在地法院提起诉讼进行解决。</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十一、其他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1、在合同期内若因保洁项目、保洁面积、人工成本、服务需求等有所变动，双方可通过协商方式解决，以补充协议形式确认。</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2、本合同中的所有附件具有与本合同同等效力。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3、本合同未尽事议，可经甲乙双方协商补充说明。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4、本合同一式肆份，甲方执叁份，乙方执壹份，经甲乙双方签字盖章后生效。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5、乙方的投标文件作为本合同的附件。</w:t>
      </w:r>
    </w:p>
    <w:p>
      <w:pPr>
        <w:spacing w:line="360" w:lineRule="exact"/>
        <w:ind w:firstLine="480" w:firstLineChars="200"/>
        <w:rPr>
          <w:rFonts w:ascii="宋体" w:hAnsi="宋体" w:cs="宋体"/>
          <w:sz w:val="24"/>
          <w:szCs w:val="24"/>
          <w:highlight w:val="none"/>
        </w:rPr>
      </w:pP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甲  方：                           乙  方：</w:t>
      </w: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签字(盖章)：                       签字(盖章)：</w:t>
      </w: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年   月   日                          年   月   日</w:t>
      </w: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pStyle w:val="2"/>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pStyle w:val="2"/>
        <w:rPr>
          <w:highlight w:val="none"/>
        </w:rPr>
      </w:pPr>
    </w:p>
    <w:p>
      <w:pPr>
        <w:spacing w:line="360" w:lineRule="exact"/>
        <w:ind w:firstLine="482" w:firstLineChars="200"/>
        <w:rPr>
          <w:rFonts w:ascii="宋体" w:hAnsi="宋体" w:cs="宋体"/>
          <w:b/>
          <w:sz w:val="24"/>
          <w:szCs w:val="24"/>
          <w:highlight w:val="none"/>
        </w:rPr>
      </w:pPr>
    </w:p>
    <w:p>
      <w:pPr>
        <w:spacing w:line="360" w:lineRule="exact"/>
        <w:ind w:firstLine="482" w:firstLineChars="200"/>
        <w:rPr>
          <w:rFonts w:ascii="宋体" w:hAnsi="宋体" w:cs="宋体"/>
          <w:b/>
          <w:sz w:val="24"/>
          <w:szCs w:val="24"/>
          <w:highlight w:val="none"/>
        </w:rPr>
      </w:pPr>
    </w:p>
    <w:p>
      <w:pPr>
        <w:spacing w:line="360" w:lineRule="exact"/>
        <w:rPr>
          <w:rFonts w:ascii="宋体" w:hAnsi="宋体" w:cs="宋体"/>
          <w:b/>
          <w:sz w:val="24"/>
          <w:szCs w:val="24"/>
          <w:highlight w:val="none"/>
        </w:rPr>
      </w:pPr>
    </w:p>
    <w:p>
      <w:pPr>
        <w:spacing w:line="360" w:lineRule="exact"/>
        <w:rPr>
          <w:rFonts w:ascii="宋体" w:hAnsi="宋体" w:cs="宋体"/>
          <w:b/>
          <w:sz w:val="24"/>
          <w:szCs w:val="24"/>
          <w:highlight w:val="none"/>
        </w:rPr>
      </w:pPr>
      <w:r>
        <w:rPr>
          <w:rFonts w:hint="eastAsia" w:ascii="宋体" w:hAnsi="宋体" w:cs="宋体"/>
          <w:b/>
          <w:sz w:val="24"/>
          <w:szCs w:val="24"/>
          <w:highlight w:val="none"/>
        </w:rPr>
        <w:t>合同附件一：</w:t>
      </w:r>
    </w:p>
    <w:p>
      <w:pPr>
        <w:spacing w:line="360" w:lineRule="exact"/>
        <w:ind w:firstLine="480" w:firstLineChars="200"/>
        <w:rPr>
          <w:rFonts w:ascii="宋体" w:hAnsi="宋体" w:cs="宋体"/>
          <w:sz w:val="24"/>
          <w:szCs w:val="24"/>
          <w:highlight w:val="none"/>
        </w:rPr>
      </w:pPr>
    </w:p>
    <w:p>
      <w:pPr>
        <w:spacing w:line="360" w:lineRule="exact"/>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关于节假日、客游高峰期、恶劣天气等特殊情况</w:t>
      </w:r>
    </w:p>
    <w:p>
      <w:pPr>
        <w:spacing w:line="360" w:lineRule="exact"/>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保洁服务的应急预案</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根据行业特色，结合东站物流中心实际服务情况，为确保中心整体环境卫生达到《环境卫生作业考核标准》的要求，为商户和客户提供一个舒适、洁净、优美的服务环境和商业环境，特制定如下应急预案：</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一、 临时检查（如文明创建、安全检查等）、节假日期间（如“五一”、“十一”等）或重大活动（如车展、庙会等）等客流高峰期</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1、根据客流量增加保洁员，确保保洁服务质量；</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2、延长保洁服务时间，以东站物流中心实际需求为准；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二、 恶劣天气（雨、雪天气）</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1、放置警示牌，提示客户及外来人员注意安全，以中心实际需求为准；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2、在不影响园区正常经营情况下，恶劣天气造成的污水和泥沙，在雨停后20分钟内组织保洁员清理；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3、影响园区正常经营的情况下，恶劣天气所造成的污水和泥沙，保洁员要迅速清理；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4、暴雪天气需对园区公共区域路面积雪及时清扫。</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三、 停水</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1、确保储水容器完好；</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2、储水量确保园区保洁服务的正常使用；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3、不得关闭服务设施设备；</w:t>
      </w:r>
    </w:p>
    <w:p>
      <w:pPr>
        <w:spacing w:line="360" w:lineRule="exact"/>
        <w:ind w:firstLine="480" w:firstLineChars="200"/>
        <w:rPr>
          <w:rFonts w:ascii="宋体" w:hAnsi="宋体" w:cs="宋体"/>
          <w:sz w:val="24"/>
          <w:szCs w:val="24"/>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b/>
          <w:sz w:val="28"/>
          <w:szCs w:val="28"/>
          <w:highlight w:val="none"/>
        </w:rPr>
      </w:pPr>
      <w:r>
        <w:rPr>
          <w:rFonts w:hint="eastAsia" w:ascii="宋体" w:hAnsi="宋体" w:cs="宋体"/>
          <w:b/>
          <w:sz w:val="28"/>
          <w:szCs w:val="28"/>
          <w:highlight w:val="none"/>
        </w:rPr>
        <w:br w:type="page"/>
      </w:r>
    </w:p>
    <w:p>
      <w:pPr>
        <w:ind w:firstLine="138" w:firstLineChars="49"/>
        <w:rPr>
          <w:rFonts w:ascii="宋体" w:hAnsi="宋体" w:cs="宋体"/>
          <w:b/>
          <w:sz w:val="28"/>
          <w:szCs w:val="28"/>
          <w:highlight w:val="none"/>
        </w:rPr>
      </w:pPr>
      <w:r>
        <w:rPr>
          <w:rFonts w:hint="eastAsia" w:ascii="宋体" w:hAnsi="宋体" w:cs="宋体"/>
          <w:b/>
          <w:sz w:val="28"/>
          <w:szCs w:val="28"/>
          <w:highlight w:val="none"/>
        </w:rPr>
        <w:t>合同附件二：环境卫生考核标准</w:t>
      </w:r>
    </w:p>
    <w:tbl>
      <w:tblPr>
        <w:tblStyle w:val="42"/>
        <w:tblW w:w="9207" w:type="dxa"/>
        <w:jc w:val="center"/>
        <w:tblLayout w:type="fixed"/>
        <w:tblCellMar>
          <w:top w:w="0" w:type="dxa"/>
          <w:left w:w="108" w:type="dxa"/>
          <w:bottom w:w="0" w:type="dxa"/>
          <w:right w:w="108" w:type="dxa"/>
        </w:tblCellMar>
      </w:tblPr>
      <w:tblGrid>
        <w:gridCol w:w="1269"/>
        <w:gridCol w:w="1580"/>
        <w:gridCol w:w="4961"/>
        <w:gridCol w:w="1397"/>
      </w:tblGrid>
      <w:tr>
        <w:tblPrEx>
          <w:tblCellMar>
            <w:top w:w="0" w:type="dxa"/>
            <w:left w:w="108" w:type="dxa"/>
            <w:bottom w:w="0" w:type="dxa"/>
            <w:right w:w="108" w:type="dxa"/>
          </w:tblCellMar>
        </w:tblPrEx>
        <w:trPr>
          <w:trHeight w:val="402" w:hRule="atLeast"/>
          <w:jc w:val="center"/>
        </w:trPr>
        <w:tc>
          <w:tcPr>
            <w:tcW w:w="2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保洁项目</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质量标准</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未达到按下列分值进行扣分</w:t>
            </w:r>
          </w:p>
        </w:tc>
      </w:tr>
      <w:tr>
        <w:tblPrEx>
          <w:tblCellMar>
            <w:top w:w="0" w:type="dxa"/>
            <w:left w:w="108" w:type="dxa"/>
            <w:bottom w:w="0" w:type="dxa"/>
            <w:right w:w="108" w:type="dxa"/>
          </w:tblCellMar>
        </w:tblPrEx>
        <w:trPr>
          <w:trHeight w:val="300" w:hRule="atLeast"/>
          <w:jc w:val="center"/>
        </w:trPr>
        <w:tc>
          <w:tcPr>
            <w:tcW w:w="12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外围道路、广场、停车场及楼顶天台</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水泥柏油道路地面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目视干净，无明显杂物、垃圾、泥土沙，排雨井通畅</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花岗石地面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无尘，地面不见脚印、光亮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花岗石廊柱</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草地</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目视干净，无明显杂物和过多落叶</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花池</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无杂物、无过多落叶</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排水沟</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无杂物、无垃圾、无过多淤泥、无恶臭等异味</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污水井雨水井</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无堵塞、畅通</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排水系统</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无堵塞、畅通</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水景池</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水质明净、无杂物</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栏杆或护栏</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洁净、无污渍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墙台</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无黑灰、无垃圾</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7米以下墙面、墙角</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无蜘蛛网，无杂草杂木</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指示牌</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纸巾擦拭2mm无污渍，无黑灰，无破损</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广告牌</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无明显污渍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休闲设施</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擦拭无灰尘、无积水、无杂物</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灯具及各类公共设施</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擦拭无灰尘、无污迹</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消防栓、管道、照明设备</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纸巾擦拭2mm无污渍，无蜘蛛网</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果皮箱、垃圾桶</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日产日清，外表干净无明显污渍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公铁联运港化粪池</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无溢漫</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r>
      <w:tr>
        <w:tblPrEx>
          <w:tblCellMar>
            <w:top w:w="0" w:type="dxa"/>
            <w:left w:w="108" w:type="dxa"/>
            <w:bottom w:w="0" w:type="dxa"/>
            <w:right w:w="108" w:type="dxa"/>
          </w:tblCellMar>
        </w:tblPrEx>
        <w:trPr>
          <w:trHeight w:val="300" w:hRule="atLeast"/>
          <w:jc w:val="center"/>
        </w:trPr>
        <w:tc>
          <w:tcPr>
            <w:tcW w:w="12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建筑区域内公共过道及楼梯</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花岗石（木板）地面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无尘，无污渍、无积水地面不见脚印、光亮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墙面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无黑灰、无污渍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瓷砖墙身</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纸巾擦拭2mm无污渍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楼梯扶手</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无积尘、污渍，光亮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楼梯</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无垃圾、杂物、沙尘和污渍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楼梯墙角</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无杂物、垃圾、虫尸</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消防栓、消防管道、防火门</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无积尘、无黑灰、无蛛网</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电井箱门</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无灰尘和污渍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过道窗台</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无灰尘和污渍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过道窗玻璃</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光洁透明、无污迹</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排风口</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无积尘</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顶面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无蛛网</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信息栏、广告栏</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无灰尘、无污迹、无野广告</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灯具（含应急照明灯）</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清洁，无明显灰尘，无过多虫尸</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电梯</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普通轿厢壁及门表面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无灰尘和污渍，不锈钢光洁靓丽</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天花、风口、灯具、摄像头</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无灰尘和污渍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轿厢地面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无垃圾、无积尘</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玻璃内外墙</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纸巾擦拭2mm无污渍、光亮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玻璃天花板及雨台</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无黑灰、无明显积水</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招商中心办公楼及物业大厅</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地砖：无污渍、无积水、无纸屑、无积尘；地毯：无污渍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普通墙面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无污迹、无乱涂乱画</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玻璃（铝合金）门</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纸巾擦拭2mm无污渍、光亮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玻璃墙</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纸巾擦拭2mm无污渍、光亮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水景池</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水质明净、无杂物</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盆景</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外表无污渍，盆中无杂物</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柜台</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无尘，纸巾擦拭2mm无污渍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装饰摆件及展览陈列</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无尘，纸巾擦拭2mm无污渍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电视机</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无尘，纸巾擦拭2mm无污渍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LED屏</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无尘，纸巾擦拭2mm无污渍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顶面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无蛛网</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桌面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干净，无积尘、无污渍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门窗</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无积尘、无污渍、玻璃清晰透亮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灯饰</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无积尘</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沙发</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无污渍、无积尘，皮革光亮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空调</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无尘，纸巾擦拭2mm无污渍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文件柜</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无污迹、无灰尘</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果皮箱</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日产日清，外表干净无明显污渍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公共洗手间</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无污渍和积水</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墙面</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无灰尘、无污渍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天花板</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无蜘蛛网、无灰尘</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蹲位</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无便渍、无渍垢、无异味</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水箱</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无灰尘、无污渍、无明显水渍，洁净</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小便池</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内外无便迹、无异味、无水锈，干净畅通</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管道</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无积尘</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洗手盆</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无污渍，无皂液</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镜子</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无污渍、无水迹、明净光亮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间隔板</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无污渍、无乱写画</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垃圾篓</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垃圾不外溢、外周无污渍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30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窗台</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无黑灰、无污渍</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240" w:hRule="atLeast"/>
          <w:jc w:val="center"/>
        </w:trPr>
        <w:tc>
          <w:tcPr>
            <w:tcW w:w="12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垃圾转运</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垃圾车</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保证无垃圾</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240" w:hRule="atLeast"/>
          <w:jc w:val="center"/>
        </w:trPr>
        <w:tc>
          <w:tcPr>
            <w:tcW w:w="1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垃圾池</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四周无垃圾、无溢出</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r>
      <w:tr>
        <w:tblPrEx>
          <w:tblCellMar>
            <w:top w:w="0" w:type="dxa"/>
            <w:left w:w="108" w:type="dxa"/>
            <w:bottom w:w="0" w:type="dxa"/>
            <w:right w:w="108" w:type="dxa"/>
          </w:tblCellMar>
        </w:tblPrEx>
        <w:trPr>
          <w:trHeight w:val="720" w:hRule="atLeast"/>
          <w:jc w:val="center"/>
        </w:trPr>
        <w:tc>
          <w:tcPr>
            <w:tcW w:w="12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管理规范</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统一着装上岗</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保洁人员统一着工作装上岗作业，不得 穿便服与工作服混搭，工作服要保持清洁、无皱着、佩戴工号牌、户外作业可使用遮阳帽。</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未达要求每发现一起扣2分</w:t>
            </w:r>
          </w:p>
        </w:tc>
      </w:tr>
      <w:tr>
        <w:tblPrEx>
          <w:tblCellMar>
            <w:top w:w="0" w:type="dxa"/>
            <w:left w:w="108" w:type="dxa"/>
            <w:bottom w:w="0" w:type="dxa"/>
            <w:right w:w="108" w:type="dxa"/>
          </w:tblCellMar>
        </w:tblPrEx>
        <w:trPr>
          <w:trHeight w:val="720" w:hRule="atLeast"/>
          <w:jc w:val="center"/>
        </w:trPr>
        <w:tc>
          <w:tcPr>
            <w:tcW w:w="12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形象良好</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上班时间不得穿拖鞋、短裤，女员工不得披头散发，男员工不得染发、留长发、剃光头、纹身、戴耳环，员工着装要求整洁</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未达要求每发现一起扣2分</w:t>
            </w:r>
          </w:p>
        </w:tc>
      </w:tr>
      <w:tr>
        <w:tblPrEx>
          <w:tblCellMar>
            <w:top w:w="0" w:type="dxa"/>
            <w:left w:w="108" w:type="dxa"/>
            <w:bottom w:w="0" w:type="dxa"/>
            <w:right w:w="108" w:type="dxa"/>
          </w:tblCellMar>
        </w:tblPrEx>
        <w:trPr>
          <w:trHeight w:val="720" w:hRule="atLeast"/>
          <w:jc w:val="center"/>
        </w:trPr>
        <w:tc>
          <w:tcPr>
            <w:tcW w:w="12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劳动纪律规章制度遵循</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严禁迟到、早退、擅自离岗；严禁酒后作业；严禁寻衅滋事；严禁在甲方公共场所喧哗打闹、赌博、进食；严禁偷窃财物</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发现一起扣2分</w:t>
            </w:r>
          </w:p>
        </w:tc>
      </w:tr>
      <w:tr>
        <w:tblPrEx>
          <w:tblCellMar>
            <w:top w:w="0" w:type="dxa"/>
            <w:left w:w="108" w:type="dxa"/>
            <w:bottom w:w="0" w:type="dxa"/>
            <w:right w:w="108" w:type="dxa"/>
          </w:tblCellMar>
        </w:tblPrEx>
        <w:trPr>
          <w:trHeight w:val="720" w:hRule="atLeast"/>
          <w:jc w:val="center"/>
        </w:trPr>
        <w:tc>
          <w:tcPr>
            <w:tcW w:w="12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清洁工具统一存放</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所有清洁工具统一存放在工具室内，不 得无人使用时随意放置在公共场所醒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目位置。</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未达要求每处 扣2分</w:t>
            </w:r>
          </w:p>
        </w:tc>
      </w:tr>
      <w:tr>
        <w:tblPrEx>
          <w:tblCellMar>
            <w:top w:w="0" w:type="dxa"/>
            <w:left w:w="108" w:type="dxa"/>
            <w:bottom w:w="0" w:type="dxa"/>
            <w:right w:w="108" w:type="dxa"/>
          </w:tblCellMar>
        </w:tblPrEx>
        <w:trPr>
          <w:trHeight w:val="480" w:hRule="atLeast"/>
          <w:jc w:val="center"/>
        </w:trPr>
        <w:tc>
          <w:tcPr>
            <w:tcW w:w="12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因操作不当设施设备损坏</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修复并照价赔偿</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发现一起扣2分</w:t>
            </w:r>
          </w:p>
        </w:tc>
      </w:tr>
      <w:tr>
        <w:tblPrEx>
          <w:tblCellMar>
            <w:top w:w="0" w:type="dxa"/>
            <w:left w:w="108" w:type="dxa"/>
            <w:bottom w:w="0" w:type="dxa"/>
            <w:right w:w="108" w:type="dxa"/>
          </w:tblCellMar>
        </w:tblPrEx>
        <w:trPr>
          <w:trHeight w:val="480" w:hRule="atLeast"/>
          <w:jc w:val="center"/>
        </w:trPr>
        <w:tc>
          <w:tcPr>
            <w:tcW w:w="12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物品存放</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不得在甲方公共场所拾荒，个人物品不得放置于甲方公共场所各个角落。</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480" w:hRule="atLeast"/>
          <w:jc w:val="center"/>
        </w:trPr>
        <w:tc>
          <w:tcPr>
            <w:tcW w:w="12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避峰作业</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按照园区商户经营时间进行避峰作业， 不得妨碍园区正常生产经营</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r>
      <w:tr>
        <w:tblPrEx>
          <w:tblCellMar>
            <w:top w:w="0" w:type="dxa"/>
            <w:left w:w="108" w:type="dxa"/>
            <w:bottom w:w="0" w:type="dxa"/>
            <w:right w:w="108" w:type="dxa"/>
          </w:tblCellMar>
        </w:tblPrEx>
        <w:trPr>
          <w:trHeight w:val="240" w:hRule="atLeast"/>
          <w:jc w:val="center"/>
        </w:trPr>
        <w:tc>
          <w:tcPr>
            <w:tcW w:w="12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成本意识</w:t>
            </w:r>
          </w:p>
        </w:tc>
        <w:tc>
          <w:tcPr>
            <w:tcW w:w="4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杜绝水长流、浪费水电现象发生；维护设施设备完好无损</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r>
    </w:tbl>
    <w:p>
      <w:pPr>
        <w:rPr>
          <w:rFonts w:ascii="宋体" w:hAnsi="宋体" w:cs="宋体"/>
          <w:sz w:val="24"/>
          <w:szCs w:val="24"/>
          <w:highlight w:val="none"/>
        </w:rPr>
      </w:pPr>
      <w:r>
        <w:rPr>
          <w:rFonts w:hint="eastAsia" w:ascii="宋体" w:hAnsi="宋体" w:cs="宋体"/>
          <w:sz w:val="24"/>
          <w:szCs w:val="24"/>
          <w:highlight w:val="none"/>
        </w:rPr>
        <w:t>备注：</w:t>
      </w:r>
    </w:p>
    <w:p>
      <w:pPr>
        <w:rPr>
          <w:rFonts w:ascii="宋体" w:hAnsi="宋体" w:cs="宋体"/>
          <w:sz w:val="24"/>
          <w:szCs w:val="24"/>
          <w:highlight w:val="none"/>
        </w:rPr>
      </w:pPr>
      <w:r>
        <w:rPr>
          <w:rFonts w:hint="eastAsia" w:ascii="宋体" w:hAnsi="宋体" w:cs="宋体"/>
          <w:sz w:val="24"/>
          <w:szCs w:val="24"/>
          <w:highlight w:val="none"/>
        </w:rPr>
        <w:t>1、考核扣分的分值所折算的金额（一分考核扣款（100元）大写壹佰元人民币）直接从每月保洁服务费用中扣除；</w:t>
      </w:r>
    </w:p>
    <w:p>
      <w:pPr>
        <w:rPr>
          <w:rFonts w:ascii="宋体" w:hAnsi="宋体" w:cs="宋体"/>
          <w:sz w:val="24"/>
          <w:szCs w:val="24"/>
          <w:highlight w:val="none"/>
        </w:rPr>
      </w:pPr>
      <w:r>
        <w:rPr>
          <w:rFonts w:hint="eastAsia" w:ascii="宋体" w:hAnsi="宋体" w:cs="宋体"/>
          <w:sz w:val="24"/>
          <w:szCs w:val="24"/>
          <w:highlight w:val="none"/>
        </w:rPr>
        <w:t>2、考核方式：由甲方不定时的共同检查，若保洁公司专管人员缺席，其考核结果同样生效；</w:t>
      </w:r>
    </w:p>
    <w:p>
      <w:pPr>
        <w:rPr>
          <w:rFonts w:ascii="宋体" w:hAnsi="宋体" w:cs="宋体"/>
          <w:color w:val="FF0000"/>
          <w:sz w:val="24"/>
          <w:szCs w:val="24"/>
          <w:highlight w:val="none"/>
        </w:rPr>
      </w:pPr>
      <w:r>
        <w:rPr>
          <w:rFonts w:hint="eastAsia" w:ascii="宋体" w:hAnsi="宋体" w:cs="宋体"/>
          <w:sz w:val="24"/>
          <w:szCs w:val="24"/>
          <w:highlight w:val="none"/>
        </w:rPr>
        <w:t>3、考核部门：甲方负责每日、每周、每月、季度、半年、年度考核并填写保洁检查记录表，年终汇总存档；</w:t>
      </w:r>
    </w:p>
    <w:p>
      <w:pPr>
        <w:rPr>
          <w:rFonts w:ascii="宋体" w:hAnsi="宋体" w:cs="宋体"/>
          <w:color w:val="FF0000"/>
          <w:sz w:val="24"/>
          <w:szCs w:val="24"/>
          <w:highlight w:val="none"/>
        </w:rPr>
      </w:pPr>
      <w:r>
        <w:rPr>
          <w:rFonts w:hint="eastAsia" w:ascii="宋体" w:hAnsi="宋体" w:cs="宋体"/>
          <w:sz w:val="24"/>
          <w:szCs w:val="24"/>
          <w:highlight w:val="none"/>
        </w:rPr>
        <w:t>4、每月考核分数扣分超过100分，天元物业公司有权解除保洁合同。</w:t>
      </w:r>
    </w:p>
    <w:p>
      <w:pPr>
        <w:rPr>
          <w:rFonts w:ascii="宋体" w:hAnsi="宋体" w:cs="宋体"/>
          <w:sz w:val="24"/>
          <w:szCs w:val="24"/>
          <w:highlight w:val="none"/>
        </w:rPr>
      </w:pPr>
      <w:r>
        <w:rPr>
          <w:rFonts w:hint="eastAsia" w:ascii="宋体" w:hAnsi="宋体" w:cs="宋体"/>
          <w:sz w:val="24"/>
          <w:szCs w:val="24"/>
          <w:highlight w:val="none"/>
        </w:rPr>
        <w:t>5、考核表如下：</w:t>
      </w: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质量日考评公示表</w:t>
      </w:r>
    </w:p>
    <w:tbl>
      <w:tblPr>
        <w:tblStyle w:val="42"/>
        <w:tblW w:w="10360" w:type="dxa"/>
        <w:jc w:val="center"/>
        <w:tblLayout w:type="fixed"/>
        <w:tblCellMar>
          <w:top w:w="0" w:type="dxa"/>
          <w:left w:w="108" w:type="dxa"/>
          <w:bottom w:w="0" w:type="dxa"/>
          <w:right w:w="108" w:type="dxa"/>
        </w:tblCellMar>
      </w:tblPr>
      <w:tblGrid>
        <w:gridCol w:w="1360"/>
        <w:gridCol w:w="1420"/>
        <w:gridCol w:w="4480"/>
        <w:gridCol w:w="1200"/>
        <w:gridCol w:w="1900"/>
      </w:tblGrid>
      <w:tr>
        <w:tblPrEx>
          <w:tblCellMar>
            <w:top w:w="0" w:type="dxa"/>
            <w:left w:w="108" w:type="dxa"/>
            <w:bottom w:w="0" w:type="dxa"/>
            <w:right w:w="108" w:type="dxa"/>
          </w:tblCellMar>
        </w:tblPrEx>
        <w:trPr>
          <w:trHeight w:val="600" w:hRule="atLeast"/>
          <w:jc w:val="center"/>
        </w:trPr>
        <w:tc>
          <w:tcPr>
            <w:tcW w:w="13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日期：</w:t>
            </w:r>
          </w:p>
        </w:tc>
        <w:tc>
          <w:tcPr>
            <w:tcW w:w="14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highlight w:val="none"/>
              </w:rPr>
            </w:pPr>
          </w:p>
        </w:tc>
        <w:tc>
          <w:tcPr>
            <w:tcW w:w="44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xml:space="preserve">                 参与考核人员：</w:t>
            </w:r>
          </w:p>
        </w:tc>
        <w:tc>
          <w:tcPr>
            <w:tcW w:w="12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highlight w:val="none"/>
              </w:rPr>
            </w:pPr>
          </w:p>
        </w:tc>
        <w:tc>
          <w:tcPr>
            <w:tcW w:w="19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600" w:hRule="atLeast"/>
          <w:jc w:val="center"/>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部门</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时间</w:t>
            </w:r>
          </w:p>
        </w:tc>
        <w:tc>
          <w:tcPr>
            <w:tcW w:w="44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考核内容</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量分</w:t>
            </w:r>
          </w:p>
        </w:tc>
        <w:tc>
          <w:tcPr>
            <w:tcW w:w="1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备注</w:t>
            </w:r>
          </w:p>
        </w:tc>
      </w:tr>
      <w:tr>
        <w:tblPrEx>
          <w:tblCellMar>
            <w:top w:w="0" w:type="dxa"/>
            <w:left w:w="108" w:type="dxa"/>
            <w:bottom w:w="0" w:type="dxa"/>
            <w:right w:w="108" w:type="dxa"/>
          </w:tblCellMar>
        </w:tblPrEx>
        <w:trPr>
          <w:trHeight w:val="600" w:hRule="atLeast"/>
          <w:jc w:val="center"/>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4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600" w:hRule="atLeast"/>
          <w:jc w:val="center"/>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4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600" w:hRule="atLeast"/>
          <w:jc w:val="center"/>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4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600" w:hRule="atLeast"/>
          <w:jc w:val="center"/>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4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600" w:hRule="atLeast"/>
          <w:jc w:val="center"/>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4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bl>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rFonts w:ascii="宋体" w:hAnsi="宋体" w:cs="宋体"/>
          <w:sz w:val="28"/>
          <w:szCs w:val="28"/>
          <w:highlight w:val="none"/>
        </w:rPr>
      </w:pPr>
    </w:p>
    <w:p>
      <w:pPr>
        <w:rPr>
          <w:rFonts w:ascii="宋体" w:hAnsi="宋体" w:cs="宋体"/>
          <w:b/>
          <w:sz w:val="24"/>
          <w:szCs w:val="24"/>
          <w:highlight w:val="none"/>
        </w:rPr>
      </w:pPr>
      <w:r>
        <w:rPr>
          <w:rFonts w:hint="eastAsia" w:ascii="宋体" w:hAnsi="宋体" w:cs="宋体"/>
          <w:b/>
          <w:sz w:val="24"/>
          <w:szCs w:val="24"/>
          <w:highlight w:val="none"/>
        </w:rPr>
        <w:t>合同附件三：保洁区域安排（人数不少于18人，以实际投标人数为准）</w:t>
      </w:r>
    </w:p>
    <w:p>
      <w:pPr>
        <w:jc w:val="center"/>
        <w:rPr>
          <w:rFonts w:ascii="宋体" w:hAnsi="宋体" w:cs="宋体"/>
          <w:sz w:val="28"/>
          <w:szCs w:val="28"/>
          <w:highlight w:val="none"/>
        </w:rPr>
      </w:pPr>
      <w:r>
        <w:rPr>
          <w:rFonts w:hint="eastAsia" w:ascii="宋体" w:hAnsi="宋体" w:cs="宋体"/>
          <w:sz w:val="28"/>
          <w:szCs w:val="28"/>
          <w:highlight w:val="none"/>
        </w:rPr>
        <w:t>招商中心、公铁联运港、汽车城等整个保洁区域安排</w:t>
      </w:r>
    </w:p>
    <w:tbl>
      <w:tblPr>
        <w:tblStyle w:val="4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953"/>
        <w:gridCol w:w="992"/>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分类项目</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人数</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服务时间安排</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班次安排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招商中心办公楼及B区停车场（卡丁车周围）室外场地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公铁联运港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汽车城A区一楼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汽车城B区一楼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汽车城A区二楼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宋体" w:hAnsi="宋体" w:cs="宋体"/>
                <w:color w:val="000000"/>
                <w:kern w:val="0"/>
                <w:sz w:val="2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A区三楼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B区三楼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B区二楼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服务大厅、中心广场、A区停车场、大门水景池</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汽车城卫生间、电梯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垃圾转运及垃圾池维护、消杀</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驻场主管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w:t>
            </w:r>
          </w:p>
        </w:tc>
        <w:tc>
          <w:tcPr>
            <w:tcW w:w="595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人员合计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sz w:val="24"/>
                <w:szCs w:val="24"/>
                <w:highlight w:val="none"/>
              </w:rPr>
            </w:pPr>
          </w:p>
        </w:tc>
      </w:tr>
    </w:tbl>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r>
        <w:rPr>
          <w:rFonts w:hint="eastAsia" w:ascii="宋体" w:hAnsi="宋体" w:cs="宋体"/>
          <w:b/>
          <w:sz w:val="28"/>
          <w:szCs w:val="28"/>
          <w:highlight w:val="none"/>
        </w:rPr>
        <w:t>合同附件四：保洁服务区域要求（包括但不限于以下内容）</w:t>
      </w:r>
    </w:p>
    <w:p>
      <w:pPr>
        <w:jc w:val="center"/>
        <w:rPr>
          <w:rFonts w:ascii="宋体" w:hAnsi="宋体" w:cs="宋体"/>
          <w:sz w:val="28"/>
          <w:szCs w:val="28"/>
          <w:highlight w:val="none"/>
        </w:rPr>
      </w:pPr>
      <w:r>
        <w:rPr>
          <w:rFonts w:hint="eastAsia" w:ascii="宋体" w:hAnsi="宋体" w:cs="宋体"/>
          <w:sz w:val="28"/>
          <w:szCs w:val="28"/>
          <w:highlight w:val="none"/>
        </w:rPr>
        <w:t>招商中心、公铁联运港、汽车城等整个保洁区域要求</w:t>
      </w:r>
    </w:p>
    <w:tbl>
      <w:tblPr>
        <w:tblStyle w:val="42"/>
        <w:tblW w:w="10058" w:type="dxa"/>
        <w:jc w:val="center"/>
        <w:tblLayout w:type="autofit"/>
        <w:tblCellMar>
          <w:top w:w="0" w:type="dxa"/>
          <w:left w:w="108" w:type="dxa"/>
          <w:bottom w:w="0" w:type="dxa"/>
          <w:right w:w="108" w:type="dxa"/>
        </w:tblCellMar>
      </w:tblPr>
      <w:tblGrid>
        <w:gridCol w:w="893"/>
        <w:gridCol w:w="1379"/>
        <w:gridCol w:w="1846"/>
        <w:gridCol w:w="661"/>
        <w:gridCol w:w="1421"/>
        <w:gridCol w:w="1332"/>
        <w:gridCol w:w="857"/>
        <w:gridCol w:w="853"/>
        <w:gridCol w:w="816"/>
      </w:tblGrid>
      <w:tr>
        <w:tblPrEx>
          <w:tblCellMar>
            <w:top w:w="0" w:type="dxa"/>
            <w:left w:w="108" w:type="dxa"/>
            <w:bottom w:w="0" w:type="dxa"/>
            <w:right w:w="108" w:type="dxa"/>
          </w:tblCellMar>
        </w:tblPrEx>
        <w:trPr>
          <w:trHeight w:val="499"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区域</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清洁项目</w:t>
            </w: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每日作业</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次数</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每周作业</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每月作业</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季度作业</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半年作业</w:t>
            </w:r>
          </w:p>
        </w:tc>
        <w:tc>
          <w:tcPr>
            <w:tcW w:w="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年度作业</w:t>
            </w:r>
          </w:p>
        </w:tc>
      </w:tr>
      <w:tr>
        <w:tblPrEx>
          <w:tblCellMar>
            <w:top w:w="0" w:type="dxa"/>
            <w:left w:w="108" w:type="dxa"/>
            <w:bottom w:w="0" w:type="dxa"/>
            <w:right w:w="108" w:type="dxa"/>
          </w:tblCellMar>
        </w:tblPrEx>
        <w:trPr>
          <w:trHeight w:val="480" w:hRule="atLeast"/>
          <w:jc w:val="center"/>
        </w:trPr>
        <w:tc>
          <w:tcPr>
            <w:tcW w:w="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招商中心</w:t>
            </w: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书记、总经理、副总经理办公室</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办公室整个室内全面清洁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外围道路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道路清扫</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冲刷</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绿化带</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绿地、草坪、花槽清捡</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室内通道</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通道打扫、清拖，地面杂物铲除</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楼梯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地面、台阶打扫与清拖，扶手抹净，消防管道擦拭，防火门门面清洁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窗台清洁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墙面蜘蛛网清洁，蚊蝇蟑螂消杀</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卫生间</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地面清拖，大小便池冲刷，水箱、洗手台、面盆、镜子擦拭</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窗台、隔板擦拭，墙面擦拭，卫具、地面清洁消毒，（消防）管道擦拭</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照明灯具擦拭</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天花蜘蛛网清除</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果皮箱</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垃圾倾倒、外表擦拭、清洁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冲洗</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消毒</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玻璃大门及大门台阶</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室内玻璃墙</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室内栏杆、护栏</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水景池、盆景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换水</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墙面、天花板</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清洁、天花板蜘蛛网清除</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96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电视机、LED屏、展览陈列、装饰摆件、电源开关插座</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精神堡垒</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擦拭、清洁</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室外高杆灯具</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highlight w:val="none"/>
              </w:rPr>
            </w:pPr>
          </w:p>
        </w:tc>
        <w:tc>
          <w:tcPr>
            <w:tcW w:w="8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清洁、擦拭</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室内灯饰、空调出风口</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办公楼外墙玻璃</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刮（擦）拭清洁</w:t>
            </w:r>
          </w:p>
        </w:tc>
      </w:tr>
      <w:tr>
        <w:tblPrEx>
          <w:tblCellMar>
            <w:top w:w="0" w:type="dxa"/>
            <w:left w:w="108" w:type="dxa"/>
            <w:bottom w:w="0" w:type="dxa"/>
            <w:right w:w="108" w:type="dxa"/>
          </w:tblCellMar>
        </w:tblPrEx>
        <w:trPr>
          <w:trHeight w:val="499" w:hRule="atLeast"/>
          <w:jc w:val="center"/>
        </w:trPr>
        <w:tc>
          <w:tcPr>
            <w:tcW w:w="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公铁联运港</w:t>
            </w: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室外通道</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道路清扫，杂物铲除</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室内通道</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打扫、清拖，杂物铲除</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停车场</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路面打扫</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96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楼梯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地面、台阶打扫与清拖，扶手抹净，消防管道擦拭，防火门门面清洁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窗台清洁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墙面蜘蛛网清洁，蚊蝇蟑螂消杀</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96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电梯门擦抹清洁、轿厢地面打扫、轿厢壁清洁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灯具、摄像头、排风清洁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门槽清洁，不锈钢饰品保养，天花板清洁</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120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卫生间</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地面清拖，大小便池冲刷，水箱、洗手台、面盆、镜子擦拭</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窗台、隔板擦拭，墙面擦拭，卫具、地面清洁消毒，（消防）管道擦拭</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照明灯具擦拭</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天花蜘蛛网清除</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垃圾桶</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垃圾倾倒</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垃圾桶外表擦抹</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垃圾桶冲洗、消毒</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消防栓设施</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绿化带</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清捡</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杂草杂木清除</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排水沟</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清淤</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堡坎墙壁、墙角</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杂草杂木清除</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原3#物业化粪池</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清淤</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广告牌</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蛛网清除</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80" w:hRule="atLeast"/>
          <w:jc w:val="center"/>
        </w:trPr>
        <w:tc>
          <w:tcPr>
            <w:tcW w:w="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汽车城</w:t>
            </w: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车辆通道</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路面打扫，地面杂物铲除，巡回保洁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室外高杆灯清洁</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冲洗</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72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室内人行通道</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路面打扫、清拖，地面杂物铲除，巡回保洁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通道墙面清洁去污</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去污粉清洗地面</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灯具清洗</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广场</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路面打扫，公共休闲设施清抹</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高杆灯具清洁</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冲洗</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停车场</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路面打扫</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高杆灯具清洁</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冲洗</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绿化带</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绿地、草坪、花槽清捡</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草坪灯清洁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四楼天台</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路面打扫</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垃圾桶清洁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冲洗</w:t>
            </w:r>
          </w:p>
        </w:tc>
      </w:tr>
      <w:tr>
        <w:tblPrEx>
          <w:tblCellMar>
            <w:top w:w="0" w:type="dxa"/>
            <w:left w:w="108" w:type="dxa"/>
            <w:bottom w:w="0" w:type="dxa"/>
            <w:right w:w="108" w:type="dxa"/>
          </w:tblCellMar>
        </w:tblPrEx>
        <w:trPr>
          <w:trHeight w:val="96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楼梯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地面、台阶打扫与清拖，扶手抹净，消防管道擦拭，防火门门面清洁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窗台清洁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墙面蜘蛛网清洁，蚊蝇蟑螂消杀</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96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普通电梯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电梯门擦抹清洁、轿厢地面打扫、轿厢壁清洁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灯具、摄像头、排风清洁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门槽清洁，不锈钢饰品保养，天花板清洁</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96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观光电梯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电梯门擦抹清洁、轿厢地面打扫清拖、玻璃内墙擦抹清洁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灯具、摄像头、排风清洁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门槽清洁，不锈钢饰品保养，玻璃外墙清洁</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玻璃顶、天花及遮雨台清洁</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120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卫生间</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地面清拖，大小便池冲刷，水箱、洗手台、面盆、镜子擦拭</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巡回</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窗台、隔板擦拭，墙面擦拭，卫具、地面清洁消毒，（消防）管道擦拭</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照明灯具擦拭</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天花蜘蛛网清除</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80"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水景</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打捞杂物，保持水面清洁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视具体情况定期循环、清洗</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垃圾桶、垃圾箱</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垃圾倾倒，垃圾桶清洗</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果皮箱外表面擦抹</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果皮箱冲洗、消毒</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物业办公室</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玻璃大门、地面、沙发、空调、装饰摆件、文件柜、会议室（招待室）桌椅、果皮箱清洁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盆景、LED屏、消火箱门、电源开关插座清洁</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玻璃墙、大门铝合金格栅清洁</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墙面、天花板蜘蛛网清除</w:t>
            </w:r>
          </w:p>
        </w:tc>
        <w:tc>
          <w:tcPr>
            <w:tcW w:w="863"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highlight w:val="none"/>
              </w:rPr>
            </w:pPr>
          </w:p>
        </w:tc>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灯饰清洁</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指示牌、警语牌</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室内擦拭</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室外擦拭</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垃圾池</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四周垃圾清理清扫</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循环</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消杀</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消防栓设施、电井箱门</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擦拭</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99" w:hRule="atLeast"/>
          <w:jc w:val="center"/>
        </w:trPr>
        <w:tc>
          <w:tcPr>
            <w:tcW w:w="9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排水沟</w:t>
            </w:r>
          </w:p>
        </w:tc>
        <w:tc>
          <w:tcPr>
            <w:tcW w:w="18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清淤</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bl>
    <w:p>
      <w:pPr>
        <w:rPr>
          <w:rFonts w:ascii="宋体" w:hAnsi="宋体" w:cs="宋体"/>
          <w:sz w:val="28"/>
          <w:szCs w:val="28"/>
          <w:highlight w:val="none"/>
        </w:rPr>
      </w:pPr>
    </w:p>
    <w:p>
      <w:pPr>
        <w:rPr>
          <w:rFonts w:ascii="宋体" w:hAnsi="宋体" w:cs="宋体"/>
          <w:sz w:val="24"/>
          <w:szCs w:val="24"/>
          <w:highlight w:val="none"/>
        </w:rPr>
      </w:pPr>
      <w:r>
        <w:rPr>
          <w:rFonts w:hint="eastAsia" w:ascii="宋体" w:hAnsi="宋体" w:cs="宋体"/>
          <w:sz w:val="24"/>
          <w:szCs w:val="24"/>
          <w:highlight w:val="none"/>
        </w:rPr>
        <w:t>注：</w:t>
      </w:r>
    </w:p>
    <w:p>
      <w:pPr>
        <w:rPr>
          <w:rFonts w:ascii="宋体" w:hAnsi="宋体" w:cs="宋体"/>
          <w:sz w:val="24"/>
          <w:szCs w:val="24"/>
          <w:highlight w:val="none"/>
        </w:rPr>
      </w:pPr>
      <w:r>
        <w:rPr>
          <w:rFonts w:hint="eastAsia" w:ascii="宋体" w:hAnsi="宋体" w:cs="宋体"/>
          <w:sz w:val="24"/>
          <w:szCs w:val="24"/>
          <w:highlight w:val="none"/>
        </w:rPr>
        <w:t>以上为天元物流招商中心、公铁联运港、汽车城A区、B区及其所有配套区域保洁的一般要求，不尽全面的地方乙方可结合实际情况根据环境卫生作业考核标准灵活安排；遇重大接待、重大活动、黄金周、恶劣天气等情况不能满足卫生标准的，保洁应在此基础上增大保洁频率；</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spacing w:line="440" w:lineRule="exact"/>
        <w:ind w:firstLine="562" w:firstLineChars="200"/>
        <w:jc w:val="center"/>
        <w:rPr>
          <w:rFonts w:ascii="宋体" w:hAnsi="宋体" w:cs="宋体"/>
          <w:b/>
          <w:color w:val="000000"/>
          <w:kern w:val="0"/>
          <w:sz w:val="28"/>
          <w:szCs w:val="28"/>
          <w:highlight w:val="none"/>
        </w:rPr>
      </w:pPr>
    </w:p>
    <w:p>
      <w:pPr>
        <w:spacing w:line="440" w:lineRule="exact"/>
        <w:ind w:firstLine="562" w:firstLineChars="200"/>
        <w:jc w:val="center"/>
        <w:rPr>
          <w:rFonts w:ascii="宋体" w:hAnsi="宋体" w:cs="宋体"/>
          <w:b/>
          <w:color w:val="000000"/>
          <w:kern w:val="0"/>
          <w:sz w:val="28"/>
          <w:szCs w:val="28"/>
          <w:highlight w:val="none"/>
        </w:rPr>
      </w:pPr>
    </w:p>
    <w:p>
      <w:pPr>
        <w:spacing w:line="440" w:lineRule="exact"/>
        <w:ind w:firstLine="562" w:firstLineChars="200"/>
        <w:jc w:val="center"/>
        <w:rPr>
          <w:rFonts w:ascii="宋体" w:hAnsi="宋体" w:cs="宋体"/>
          <w:b/>
          <w:color w:val="000000"/>
          <w:kern w:val="0"/>
          <w:sz w:val="28"/>
          <w:szCs w:val="28"/>
          <w:highlight w:val="none"/>
        </w:rPr>
      </w:pPr>
    </w:p>
    <w:p>
      <w:pPr>
        <w:spacing w:line="440" w:lineRule="exact"/>
        <w:ind w:firstLine="562" w:firstLineChars="200"/>
        <w:jc w:val="center"/>
        <w:rPr>
          <w:rFonts w:ascii="宋体" w:hAnsi="宋体" w:cs="宋体"/>
          <w:b/>
          <w:color w:val="000000"/>
          <w:kern w:val="0"/>
          <w:sz w:val="28"/>
          <w:szCs w:val="28"/>
          <w:highlight w:val="none"/>
        </w:rPr>
      </w:pPr>
    </w:p>
    <w:p>
      <w:pPr>
        <w:pStyle w:val="3"/>
        <w:pageBreakBefore/>
        <w:rPr>
          <w:rFonts w:cs="宋体"/>
          <w:color w:val="000000"/>
          <w:highlight w:val="none"/>
        </w:rPr>
      </w:pPr>
      <w:r>
        <w:rPr>
          <w:rFonts w:hint="eastAsia" w:cs="宋体"/>
          <w:color w:val="000000"/>
          <w:highlight w:val="none"/>
        </w:rPr>
        <w:t>第五章  商务及技术要求</w:t>
      </w:r>
    </w:p>
    <w:p>
      <w:pPr>
        <w:spacing w:line="440" w:lineRule="exact"/>
        <w:jc w:val="left"/>
        <w:rPr>
          <w:rFonts w:ascii="宋体" w:hAnsi="宋体"/>
          <w:b/>
          <w:sz w:val="24"/>
          <w:szCs w:val="24"/>
          <w:highlight w:val="none"/>
        </w:rPr>
      </w:pPr>
      <w:r>
        <w:rPr>
          <w:rFonts w:hint="eastAsia" w:ascii="宋体" w:hAnsi="宋体"/>
          <w:b/>
          <w:sz w:val="24"/>
          <w:szCs w:val="24"/>
          <w:highlight w:val="none"/>
        </w:rPr>
        <w:t xml:space="preserve">一、天元物流东站物流中心园区所需保洁面积介绍 </w:t>
      </w:r>
    </w:p>
    <w:tbl>
      <w:tblPr>
        <w:tblStyle w:val="42"/>
        <w:tblW w:w="10125" w:type="dxa"/>
        <w:tblInd w:w="0" w:type="dxa"/>
        <w:tblLayout w:type="fixed"/>
        <w:tblCellMar>
          <w:top w:w="0" w:type="dxa"/>
          <w:left w:w="108" w:type="dxa"/>
          <w:bottom w:w="0" w:type="dxa"/>
          <w:right w:w="108" w:type="dxa"/>
        </w:tblCellMar>
      </w:tblPr>
      <w:tblGrid>
        <w:gridCol w:w="1257"/>
        <w:gridCol w:w="2537"/>
        <w:gridCol w:w="1228"/>
        <w:gridCol w:w="3402"/>
        <w:gridCol w:w="1701"/>
      </w:tblGrid>
      <w:tr>
        <w:tblPrEx>
          <w:tblCellMar>
            <w:top w:w="0" w:type="dxa"/>
            <w:left w:w="108" w:type="dxa"/>
            <w:bottom w:w="0" w:type="dxa"/>
            <w:right w:w="108" w:type="dxa"/>
          </w:tblCellMar>
        </w:tblPrEx>
        <w:trPr>
          <w:trHeight w:val="270" w:hRule="atLeast"/>
        </w:trPr>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项目</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建筑物（区域）</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通道面积</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保洁范围</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备注</w:t>
            </w:r>
          </w:p>
        </w:tc>
      </w:tr>
      <w:tr>
        <w:tblPrEx>
          <w:tblCellMar>
            <w:top w:w="0" w:type="dxa"/>
            <w:left w:w="108" w:type="dxa"/>
            <w:bottom w:w="0" w:type="dxa"/>
            <w:right w:w="108" w:type="dxa"/>
          </w:tblCellMar>
        </w:tblPrEx>
        <w:trPr>
          <w:trHeight w:val="270" w:hRule="atLeast"/>
        </w:trPr>
        <w:tc>
          <w:tcPr>
            <w:tcW w:w="12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招商中心</w:t>
            </w: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办公楼</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办公楼内的公共区域地面，大门、墙面、玻璃墙、天花板、盆景、水景、展览陈列、绿地、设施设备等内部单间办公室（书记、总经理、副总经理办公室除外）以外所有部分</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办公楼内部地面以外的保洁内容未计入保洁面积</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场外道路</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2897㎡</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地面、绿化带、精神堡垒、灯具等</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绿化带未计入面积</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小计</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3117㎡</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楼梯</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2幅</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地面、台阶、扶手、防火门</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81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卫生间</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3个</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蹲位、小便池、洗手台、水池、水箱、隔板、地面、墙面（顶）</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公铁联运港</w:t>
            </w: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货场通道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4150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停车场</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5080㎡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1#仓库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7620㎡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场内通道、室外地面、楼梯、电梯、楼顶</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2#仓库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3675㎡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场内通道、室外地面、楼梯、电梯、楼顶</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3#仓库（原7#库）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3800㎡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4#仓库（原6#库）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2266㎡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5#仓库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5880㎡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8#仓库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1250㎡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9#仓库（原8#库）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2600㎡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11#库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物流主通道、安能库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8000㎡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81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大门岗亭、原磅房、10#仓库（待建）</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2210㎡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悦宝汽修、原车库、15#库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1820㎡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原办公室（原3#物业）</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43㎡</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场内通道及卫生间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原公铁联运服务大厅</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94㎡</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场内地面、办公设施</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原百世宿舍（原4#物业）</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116㎡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场内通道、楼梯</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商用车卖场</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5000㎡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室外地面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小计</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53824㎡</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81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公厕</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6个</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蹲位、小便池、洗手台、水池、水箱、隔板、地面、墙面（顶）</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原办公室3个，8#库、11#库各1个，2#库1个待建</w:t>
            </w:r>
          </w:p>
        </w:tc>
      </w:tr>
      <w:tr>
        <w:tblPrEx>
          <w:tblCellMar>
            <w:top w:w="0" w:type="dxa"/>
            <w:left w:w="108" w:type="dxa"/>
            <w:bottom w:w="0" w:type="dxa"/>
            <w:right w:w="108" w:type="dxa"/>
          </w:tblCellMar>
        </w:tblPrEx>
        <w:trPr>
          <w:trHeight w:val="81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楼梯</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10幅</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地面、台阶、扶手、防火门</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1#库4幅，原办公室、原百世宿舍各1幅，2#库4幅待建</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电梯</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4部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轿厢壁、轿厢们、轿厢地面、灯具、风口等</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1#库2部,2#库2部待建</w:t>
            </w:r>
          </w:p>
        </w:tc>
      </w:tr>
      <w:tr>
        <w:tblPrEx>
          <w:tblCellMar>
            <w:top w:w="0" w:type="dxa"/>
            <w:left w:w="108" w:type="dxa"/>
            <w:bottom w:w="0" w:type="dxa"/>
            <w:right w:w="108" w:type="dxa"/>
          </w:tblCellMar>
        </w:tblPrEx>
        <w:trPr>
          <w:trHeight w:val="270" w:hRule="atLeast"/>
        </w:trPr>
        <w:tc>
          <w:tcPr>
            <w:tcW w:w="12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汽车城A区</w:t>
            </w: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一楼通道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14920㎡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二楼通道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11875㎡</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二楼广电承租，仅指外围道路及连接桥</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三楼通道及平台</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17616㎡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楼顶</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13050㎡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前停车场</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20526㎡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停车场及道路</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后停车场</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4262㎡</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停车场及道路</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物业办公大厅</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室内地面、墙面、玻璃墙、文件柜、沙发、盆景、空调等大厅内办公桌以外所有部分</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仅计算地面面积</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中心广场</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13342㎡</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小计</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95791㎡</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绿化区域</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15500㎡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电梯</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7部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轿厢壁、轿厢们、轿厢地面、灯具、风口等</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81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厕所</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7个</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蹲位、小便池、洗手台、水池、水箱、隔板、地面、墙面（顶）</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二楼三个，广电自行清洁</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楼梯</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25幅</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地面、墙面、扶手、防火门、消防管道等</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垃圾站</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1个</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墙角四周</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汽车城B区</w:t>
            </w: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一楼通道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14920㎡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二楼通道</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18432㎡</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三楼通道及平台</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17616㎡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楼顶</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13050㎡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前停车场</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20526㎡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后停车场</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15000㎡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小计</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99544㎡</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27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绿化区域</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15500㎡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电梯</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7部</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轿厢壁、轿厢们、轿厢地面、灯具、风口等</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81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厕所</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10个</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蹲位、小便池、洗手台、水池、水箱、隔板、地面、墙面（顶）</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540" w:hRule="atLeast"/>
        </w:trPr>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楼梯</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highlight w:val="none"/>
              </w:rPr>
            </w:pPr>
            <w:r>
              <w:rPr>
                <w:rFonts w:hint="eastAsia" w:ascii="宋体" w:hAnsi="宋体" w:cs="宋体"/>
                <w:b/>
                <w:bCs/>
                <w:color w:val="000000"/>
                <w:kern w:val="0"/>
                <w:sz w:val="22"/>
                <w:highlight w:val="none"/>
              </w:rPr>
              <w:t>25幅</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地面、墙面、扶手、防火门、消防管道等</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bl>
    <w:p>
      <w:pPr>
        <w:spacing w:line="460" w:lineRule="exact"/>
        <w:ind w:firstLine="480" w:firstLineChars="200"/>
        <w:jc w:val="left"/>
        <w:rPr>
          <w:rFonts w:ascii="宋体" w:hAnsi="宋体"/>
          <w:sz w:val="24"/>
          <w:szCs w:val="24"/>
          <w:highlight w:val="none"/>
        </w:rPr>
      </w:pPr>
    </w:p>
    <w:p>
      <w:pPr>
        <w:spacing w:line="460" w:lineRule="exact"/>
        <w:ind w:firstLine="480" w:firstLineChars="200"/>
        <w:jc w:val="left"/>
        <w:rPr>
          <w:rFonts w:ascii="宋体" w:hAnsi="宋体"/>
          <w:sz w:val="24"/>
          <w:szCs w:val="24"/>
          <w:highlight w:val="none"/>
        </w:rPr>
      </w:pPr>
      <w:r>
        <w:rPr>
          <w:rFonts w:hint="eastAsia" w:ascii="宋体" w:hAnsi="宋体"/>
          <w:sz w:val="24"/>
          <w:szCs w:val="24"/>
          <w:highlight w:val="none"/>
        </w:rPr>
        <w:t>注：日常保洁不光包括以上区域地面面积，还包括以上各区域包含的公共楼梯、电梯、走道、卫生间、办公楼及观光电梯的玻璃内外墙立面、七米以下的内外墙（玻璃）蜘蛛网、直达电梯轿厢以及所有区域内的设施设备及标识牌的保洁；七米以下堡坎墙壁墙角、路边绿化带（主要是公铁联运港）杂草杂木定期清除，排水沟、化粪池定期清淤；垃圾收运、垃圾池消杀。</w:t>
      </w:r>
    </w:p>
    <w:p>
      <w:pPr>
        <w:spacing w:line="360" w:lineRule="exact"/>
        <w:ind w:firstLine="472" w:firstLineChars="196"/>
        <w:rPr>
          <w:rFonts w:ascii="宋体" w:hAnsi="宋体"/>
          <w:b/>
          <w:sz w:val="24"/>
          <w:szCs w:val="24"/>
          <w:highlight w:val="none"/>
        </w:rPr>
      </w:pPr>
      <w:r>
        <w:rPr>
          <w:rFonts w:hint="eastAsia" w:ascii="宋体" w:hAnsi="宋体"/>
          <w:b/>
          <w:sz w:val="24"/>
          <w:szCs w:val="24"/>
          <w:highlight w:val="none"/>
        </w:rPr>
        <w:t>二、所需保洁人员安排（</w:t>
      </w:r>
      <w:r>
        <w:rPr>
          <w:rFonts w:hint="eastAsia" w:ascii="宋体" w:hAnsi="宋体" w:cs="宋体"/>
          <w:b/>
          <w:sz w:val="24"/>
          <w:szCs w:val="24"/>
          <w:highlight w:val="none"/>
        </w:rPr>
        <w:t>人数不少于18人，以投标人实际安排为准</w:t>
      </w:r>
      <w:r>
        <w:rPr>
          <w:rFonts w:hint="eastAsia" w:ascii="宋体" w:hAnsi="宋体"/>
          <w:b/>
          <w:sz w:val="24"/>
          <w:szCs w:val="24"/>
          <w:highlight w:val="none"/>
        </w:rPr>
        <w:t>）</w:t>
      </w:r>
    </w:p>
    <w:p>
      <w:pPr>
        <w:jc w:val="center"/>
        <w:rPr>
          <w:rFonts w:ascii="宋体" w:hAnsi="宋体" w:cs="宋体"/>
          <w:sz w:val="28"/>
          <w:szCs w:val="28"/>
          <w:highlight w:val="none"/>
        </w:rPr>
      </w:pPr>
      <w:r>
        <w:rPr>
          <w:rFonts w:hint="eastAsia" w:ascii="宋体" w:hAnsi="宋体" w:cs="宋体"/>
          <w:sz w:val="28"/>
          <w:szCs w:val="28"/>
          <w:highlight w:val="none"/>
        </w:rPr>
        <w:t>宜昌东站物流中心园区保洁区域安排</w:t>
      </w:r>
    </w:p>
    <w:tbl>
      <w:tblPr>
        <w:tblStyle w:val="4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953"/>
        <w:gridCol w:w="992"/>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分类项目</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人数</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服务时间安排</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班次安排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招商中心办公楼及B区停车场（卡丁车周围）室外场地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公铁联运港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汽车城A区一楼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汽车城B区一楼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汽车城A区二楼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宋体" w:hAnsi="宋体" w:cs="宋体"/>
                <w:color w:val="000000"/>
                <w:kern w:val="0"/>
                <w:sz w:val="22"/>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A区三楼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B区三楼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B区二楼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服务大厅、中心广场、A区停车场、大门水景池</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汽车城卫生间、电梯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垃圾转运及垃圾池维护、消杀</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驻场主管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宋体" w:hAnsi="宋体" w:cs="宋体"/>
                <w:color w:val="000000"/>
                <w:kern w:val="0"/>
                <w:sz w:val="22"/>
                <w:highlight w:val="none"/>
              </w:rPr>
              <w:t>7:00-17:30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w:t>
            </w:r>
          </w:p>
        </w:tc>
        <w:tc>
          <w:tcPr>
            <w:tcW w:w="595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人员合计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sz w:val="24"/>
                <w:szCs w:val="24"/>
                <w:highlight w:val="none"/>
              </w:rPr>
            </w:pPr>
          </w:p>
        </w:tc>
      </w:tr>
    </w:tbl>
    <w:p>
      <w:pPr>
        <w:rPr>
          <w:rFonts w:ascii="宋体" w:hAnsi="宋体"/>
          <w:b/>
          <w:sz w:val="24"/>
          <w:szCs w:val="24"/>
          <w:highlight w:val="none"/>
        </w:rPr>
      </w:pPr>
    </w:p>
    <w:p>
      <w:pPr>
        <w:spacing w:line="360" w:lineRule="exact"/>
        <w:rPr>
          <w:rFonts w:ascii="宋体" w:hAnsi="宋体" w:cs="宋体"/>
          <w:sz w:val="24"/>
          <w:szCs w:val="24"/>
          <w:highlight w:val="none"/>
        </w:rPr>
      </w:pPr>
      <w:r>
        <w:rPr>
          <w:rFonts w:hint="eastAsia" w:ascii="宋体" w:hAnsi="宋体" w:cs="宋体"/>
          <w:sz w:val="24"/>
          <w:szCs w:val="24"/>
          <w:highlight w:val="none"/>
        </w:rPr>
        <w:t>注： 1、各投标人可参照此标准，且保证各项保洁质量要求的情况下，合理安排岗位。</w:t>
      </w:r>
    </w:p>
    <w:p>
      <w:pPr>
        <w:spacing w:line="360" w:lineRule="exact"/>
        <w:rPr>
          <w:rFonts w:ascii="宋体" w:hAnsi="宋体" w:cs="宋体"/>
          <w:sz w:val="24"/>
          <w:szCs w:val="24"/>
          <w:highlight w:val="none"/>
        </w:rPr>
      </w:pPr>
      <w:r>
        <w:rPr>
          <w:rFonts w:hint="eastAsia" w:ascii="宋体" w:hAnsi="宋体" w:cs="宋体"/>
          <w:sz w:val="24"/>
          <w:szCs w:val="24"/>
          <w:highlight w:val="none"/>
        </w:rPr>
        <w:t xml:space="preserve">2、投标人在本项目拟派的保洁服务人员，必须按国家相关规定为其缴纳工伤保险和购买意外险。 </w:t>
      </w:r>
    </w:p>
    <w:p>
      <w:pPr>
        <w:spacing w:line="360" w:lineRule="exact"/>
        <w:ind w:firstLine="600" w:firstLineChars="250"/>
        <w:rPr>
          <w:rFonts w:ascii="宋体" w:hAnsi="宋体" w:cs="宋体"/>
          <w:sz w:val="24"/>
          <w:szCs w:val="24"/>
          <w:highlight w:val="none"/>
        </w:rPr>
      </w:pPr>
      <w:r>
        <w:rPr>
          <w:rFonts w:hint="eastAsia" w:ascii="宋体" w:hAnsi="宋体" w:cs="宋体"/>
          <w:sz w:val="24"/>
          <w:szCs w:val="24"/>
          <w:highlight w:val="none"/>
        </w:rPr>
        <w:t>3、保洁公司安排保洁总人数不少于18人，</w:t>
      </w:r>
      <w:r>
        <w:rPr>
          <w:rFonts w:hint="eastAsia" w:ascii="宋体" w:hAnsi="宋体" w:cs="宋体"/>
          <w:b/>
          <w:sz w:val="24"/>
          <w:szCs w:val="24"/>
          <w:highlight w:val="none"/>
        </w:rPr>
        <w:t>保洁人员年龄要求女性53岁以下、男性58岁以下</w:t>
      </w:r>
      <w:r>
        <w:rPr>
          <w:rFonts w:hint="eastAsia" w:ascii="宋体" w:hAnsi="宋体" w:cs="宋体"/>
          <w:sz w:val="24"/>
          <w:szCs w:val="24"/>
          <w:highlight w:val="none"/>
        </w:rPr>
        <w:t>；保洁人员基本信息要在天元物业备案，人员更换后及时报备。</w:t>
      </w:r>
    </w:p>
    <w:p>
      <w:pPr>
        <w:spacing w:line="360" w:lineRule="exact"/>
        <w:ind w:firstLine="472" w:firstLineChars="196"/>
        <w:rPr>
          <w:rFonts w:ascii="宋体" w:hAnsi="宋体"/>
          <w:b/>
          <w:sz w:val="24"/>
          <w:szCs w:val="24"/>
          <w:highlight w:val="none"/>
        </w:rPr>
      </w:pPr>
      <w:r>
        <w:rPr>
          <w:rFonts w:hint="eastAsia" w:ascii="宋体" w:hAnsi="宋体"/>
          <w:b/>
          <w:sz w:val="24"/>
          <w:szCs w:val="24"/>
          <w:highlight w:val="none"/>
        </w:rPr>
        <w:t>三、东站物流中心所需保洁电器设备</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为了提高保洁服务效率和质量，驻场保洁公司的保洁电器设备不少于下列要求。以下设备和数量</w:t>
      </w:r>
      <w:r>
        <w:rPr>
          <w:rFonts w:hint="eastAsia" w:ascii="宋体" w:hAnsi="宋体" w:cs="宋体"/>
          <w:b/>
          <w:sz w:val="24"/>
          <w:szCs w:val="24"/>
          <w:highlight w:val="none"/>
        </w:rPr>
        <w:t>仅供各投标人参考：</w:t>
      </w:r>
    </w:p>
    <w:tbl>
      <w:tblPr>
        <w:tblStyle w:val="42"/>
        <w:tblW w:w="7961" w:type="dxa"/>
        <w:jc w:val="center"/>
        <w:tblLayout w:type="autofit"/>
        <w:tblCellMar>
          <w:top w:w="0" w:type="dxa"/>
          <w:left w:w="108" w:type="dxa"/>
          <w:bottom w:w="0" w:type="dxa"/>
          <w:right w:w="108" w:type="dxa"/>
        </w:tblCellMar>
      </w:tblPr>
      <w:tblGrid>
        <w:gridCol w:w="1461"/>
        <w:gridCol w:w="1080"/>
        <w:gridCol w:w="1080"/>
        <w:gridCol w:w="1460"/>
        <w:gridCol w:w="1320"/>
        <w:gridCol w:w="1560"/>
      </w:tblGrid>
      <w:tr>
        <w:tblPrEx>
          <w:tblCellMar>
            <w:top w:w="0" w:type="dxa"/>
            <w:left w:w="108" w:type="dxa"/>
            <w:bottom w:w="0" w:type="dxa"/>
            <w:right w:w="108" w:type="dxa"/>
          </w:tblCellMar>
        </w:tblPrEx>
        <w:trPr>
          <w:trHeight w:val="270" w:hRule="atLeast"/>
          <w:jc w:val="center"/>
        </w:trPr>
        <w:tc>
          <w:tcPr>
            <w:tcW w:w="14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color w:val="000000"/>
                <w:kern w:val="0"/>
                <w:sz w:val="22"/>
                <w:highlight w:val="none"/>
              </w:rPr>
            </w:pPr>
            <w:r>
              <w:rPr>
                <w:rFonts w:hint="eastAsia" w:ascii="宋体" w:hAnsi="宋体" w:cs="宋体"/>
                <w:color w:val="000000"/>
                <w:kern w:val="0"/>
                <w:sz w:val="22"/>
                <w:highlight w:val="none"/>
              </w:rPr>
              <w:t>区域</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color w:val="000000"/>
                <w:kern w:val="0"/>
                <w:sz w:val="22"/>
                <w:highlight w:val="none"/>
              </w:rPr>
            </w:pPr>
            <w:r>
              <w:rPr>
                <w:rFonts w:hint="eastAsia" w:ascii="宋体" w:hAnsi="宋体" w:cs="宋体"/>
                <w:color w:val="000000"/>
                <w:kern w:val="0"/>
                <w:sz w:val="22"/>
                <w:highlight w:val="none"/>
              </w:rPr>
              <w:t>扫地机</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color w:val="000000"/>
                <w:kern w:val="0"/>
                <w:sz w:val="22"/>
                <w:highlight w:val="none"/>
              </w:rPr>
            </w:pPr>
            <w:r>
              <w:rPr>
                <w:rFonts w:hint="eastAsia" w:ascii="宋体" w:hAnsi="宋体" w:cs="宋体"/>
                <w:color w:val="000000"/>
                <w:kern w:val="0"/>
                <w:sz w:val="22"/>
                <w:highlight w:val="none"/>
              </w:rPr>
              <w:t>洗吸机</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rPr>
                <w:rFonts w:ascii="宋体" w:hAnsi="宋体" w:cs="宋体"/>
                <w:color w:val="000000"/>
                <w:kern w:val="0"/>
                <w:sz w:val="22"/>
                <w:highlight w:val="none"/>
              </w:rPr>
            </w:pPr>
            <w:r>
              <w:rPr>
                <w:rFonts w:hint="eastAsia" w:ascii="宋体" w:hAnsi="宋体" w:cs="宋体"/>
                <w:color w:val="000000"/>
                <w:kern w:val="0"/>
                <w:sz w:val="22"/>
                <w:highlight w:val="none"/>
              </w:rPr>
              <w:t>垃圾运送车</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rPr>
                <w:rFonts w:ascii="宋体" w:hAnsi="宋体" w:cs="宋体"/>
                <w:color w:val="000000"/>
                <w:kern w:val="0"/>
                <w:sz w:val="22"/>
                <w:highlight w:val="none"/>
              </w:rPr>
            </w:pPr>
            <w:r>
              <w:rPr>
                <w:rFonts w:hint="eastAsia" w:ascii="宋体" w:hAnsi="宋体" w:cs="宋体"/>
                <w:color w:val="000000"/>
                <w:kern w:val="0"/>
                <w:sz w:val="22"/>
                <w:highlight w:val="none"/>
              </w:rPr>
              <w:t>吸尘吸水器</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rPr>
                <w:rFonts w:ascii="宋体" w:hAnsi="宋体" w:cs="宋体"/>
                <w:color w:val="000000"/>
                <w:kern w:val="0"/>
                <w:sz w:val="22"/>
                <w:highlight w:val="none"/>
              </w:rPr>
            </w:pPr>
            <w:r>
              <w:rPr>
                <w:rFonts w:hint="eastAsia" w:ascii="宋体" w:hAnsi="宋体" w:cs="宋体"/>
                <w:color w:val="000000"/>
                <w:kern w:val="0"/>
                <w:sz w:val="22"/>
                <w:highlight w:val="none"/>
              </w:rPr>
              <w:t>合计设备数量</w:t>
            </w:r>
          </w:p>
        </w:tc>
      </w:tr>
      <w:tr>
        <w:tblPrEx>
          <w:tblCellMar>
            <w:top w:w="0" w:type="dxa"/>
            <w:left w:w="108" w:type="dxa"/>
            <w:bottom w:w="0" w:type="dxa"/>
            <w:right w:w="108" w:type="dxa"/>
          </w:tblCellMar>
        </w:tblPrEx>
        <w:trPr>
          <w:trHeight w:val="270" w:hRule="atLeast"/>
          <w:jc w:val="center"/>
        </w:trPr>
        <w:tc>
          <w:tcPr>
            <w:tcW w:w="146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color w:val="000000"/>
                <w:kern w:val="0"/>
                <w:sz w:val="22"/>
                <w:highlight w:val="none"/>
              </w:rPr>
            </w:pPr>
            <w:r>
              <w:rPr>
                <w:rFonts w:hint="eastAsia" w:ascii="宋体" w:hAnsi="宋体" w:cs="宋体"/>
                <w:color w:val="000000"/>
                <w:kern w:val="0"/>
                <w:sz w:val="22"/>
                <w:highlight w:val="none"/>
              </w:rPr>
              <w:t>招商中心</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32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0台</w:t>
            </w:r>
          </w:p>
        </w:tc>
      </w:tr>
      <w:tr>
        <w:tblPrEx>
          <w:tblCellMar>
            <w:top w:w="0" w:type="dxa"/>
            <w:left w:w="108" w:type="dxa"/>
            <w:bottom w:w="0" w:type="dxa"/>
            <w:right w:w="108" w:type="dxa"/>
          </w:tblCellMar>
        </w:tblPrEx>
        <w:trPr>
          <w:trHeight w:val="270" w:hRule="atLeast"/>
          <w:jc w:val="center"/>
        </w:trPr>
        <w:tc>
          <w:tcPr>
            <w:tcW w:w="146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color w:val="000000"/>
                <w:kern w:val="0"/>
                <w:sz w:val="22"/>
                <w:highlight w:val="none"/>
              </w:rPr>
            </w:pPr>
            <w:r>
              <w:rPr>
                <w:rFonts w:hint="eastAsia" w:ascii="宋体" w:hAnsi="宋体" w:cs="宋体"/>
                <w:color w:val="000000"/>
                <w:kern w:val="0"/>
                <w:sz w:val="22"/>
                <w:highlight w:val="none"/>
              </w:rPr>
              <w:t>公铁联运港</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1台</w:t>
            </w:r>
          </w:p>
        </w:tc>
        <w:tc>
          <w:tcPr>
            <w:tcW w:w="132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1台</w:t>
            </w:r>
          </w:p>
        </w:tc>
      </w:tr>
      <w:tr>
        <w:tblPrEx>
          <w:tblCellMar>
            <w:top w:w="0" w:type="dxa"/>
            <w:left w:w="108" w:type="dxa"/>
            <w:bottom w:w="0" w:type="dxa"/>
            <w:right w:w="108" w:type="dxa"/>
          </w:tblCellMar>
        </w:tblPrEx>
        <w:trPr>
          <w:trHeight w:val="270" w:hRule="atLeast"/>
          <w:jc w:val="center"/>
        </w:trPr>
        <w:tc>
          <w:tcPr>
            <w:tcW w:w="146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color w:val="000000"/>
                <w:kern w:val="0"/>
                <w:sz w:val="22"/>
                <w:highlight w:val="none"/>
              </w:rPr>
            </w:pPr>
            <w:r>
              <w:rPr>
                <w:rFonts w:hint="eastAsia" w:ascii="宋体" w:hAnsi="宋体" w:cs="宋体"/>
                <w:color w:val="000000"/>
                <w:kern w:val="0"/>
                <w:sz w:val="22"/>
                <w:highlight w:val="none"/>
              </w:rPr>
              <w:t>汽车城A区</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1台</w:t>
            </w:r>
          </w:p>
        </w:tc>
        <w:tc>
          <w:tcPr>
            <w:tcW w:w="132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1台</w:t>
            </w:r>
          </w:p>
        </w:tc>
      </w:tr>
      <w:tr>
        <w:tblPrEx>
          <w:tblCellMar>
            <w:top w:w="0" w:type="dxa"/>
            <w:left w:w="108" w:type="dxa"/>
            <w:bottom w:w="0" w:type="dxa"/>
            <w:right w:w="108" w:type="dxa"/>
          </w:tblCellMar>
        </w:tblPrEx>
        <w:trPr>
          <w:trHeight w:val="270" w:hRule="atLeast"/>
          <w:jc w:val="center"/>
        </w:trPr>
        <w:tc>
          <w:tcPr>
            <w:tcW w:w="146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color w:val="000000"/>
                <w:kern w:val="0"/>
                <w:sz w:val="22"/>
                <w:highlight w:val="none"/>
              </w:rPr>
            </w:pPr>
            <w:r>
              <w:rPr>
                <w:rFonts w:hint="eastAsia" w:ascii="宋体" w:hAnsi="宋体" w:cs="宋体"/>
                <w:color w:val="000000"/>
                <w:kern w:val="0"/>
                <w:sz w:val="22"/>
                <w:highlight w:val="none"/>
              </w:rPr>
              <w:t>汽车城B区</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1台</w:t>
            </w:r>
          </w:p>
        </w:tc>
        <w:tc>
          <w:tcPr>
            <w:tcW w:w="132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0</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1台</w:t>
            </w:r>
          </w:p>
        </w:tc>
      </w:tr>
      <w:tr>
        <w:tblPrEx>
          <w:tblCellMar>
            <w:top w:w="0" w:type="dxa"/>
            <w:left w:w="108" w:type="dxa"/>
            <w:bottom w:w="0" w:type="dxa"/>
            <w:right w:w="108" w:type="dxa"/>
          </w:tblCellMar>
        </w:tblPrEx>
        <w:trPr>
          <w:trHeight w:val="270" w:hRule="atLeast"/>
          <w:jc w:val="center"/>
        </w:trPr>
        <w:tc>
          <w:tcPr>
            <w:tcW w:w="146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ind w:firstLine="440" w:firstLineChars="200"/>
              <w:jc w:val="center"/>
              <w:rPr>
                <w:rFonts w:ascii="宋体" w:hAnsi="宋体" w:cs="宋体"/>
                <w:color w:val="000000"/>
                <w:kern w:val="0"/>
                <w:sz w:val="22"/>
                <w:highlight w:val="none"/>
              </w:rPr>
            </w:pPr>
            <w:r>
              <w:rPr>
                <w:rFonts w:hint="eastAsia" w:ascii="宋体" w:hAnsi="宋体" w:cs="宋体"/>
                <w:color w:val="000000"/>
                <w:kern w:val="0"/>
                <w:sz w:val="22"/>
                <w:highlight w:val="none"/>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3台</w:t>
            </w:r>
          </w:p>
        </w:tc>
        <w:tc>
          <w:tcPr>
            <w:tcW w:w="132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exact"/>
              <w:ind w:firstLine="440" w:firstLineChars="200"/>
              <w:jc w:val="left"/>
              <w:rPr>
                <w:rFonts w:ascii="宋体" w:hAnsi="宋体" w:cs="宋体"/>
                <w:color w:val="000000"/>
                <w:kern w:val="0"/>
                <w:sz w:val="22"/>
                <w:highlight w:val="none"/>
              </w:rPr>
            </w:pPr>
            <w:r>
              <w:rPr>
                <w:rFonts w:hint="eastAsia" w:ascii="宋体" w:hAnsi="宋体" w:cs="宋体"/>
                <w:color w:val="000000"/>
                <w:kern w:val="0"/>
                <w:sz w:val="22"/>
                <w:highlight w:val="none"/>
              </w:rPr>
              <w:t>3台</w:t>
            </w:r>
          </w:p>
        </w:tc>
      </w:tr>
    </w:tbl>
    <w:p>
      <w:pPr>
        <w:spacing w:line="360" w:lineRule="exact"/>
        <w:ind w:firstLine="482" w:firstLineChars="200"/>
        <w:rPr>
          <w:rFonts w:ascii="宋体" w:hAnsi="宋体"/>
          <w:b/>
          <w:sz w:val="24"/>
          <w:szCs w:val="24"/>
          <w:highlight w:val="none"/>
        </w:rPr>
      </w:pPr>
      <w:r>
        <w:rPr>
          <w:rFonts w:hint="eastAsia" w:ascii="宋体" w:hAnsi="宋体"/>
          <w:b/>
          <w:sz w:val="24"/>
          <w:szCs w:val="24"/>
          <w:highlight w:val="none"/>
        </w:rPr>
        <w:t xml:space="preserve">四、保洁质量要求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见第四章合同主要条款中关于保洁服务要求和质量考核的详细规定。</w:t>
      </w:r>
    </w:p>
    <w:p>
      <w:pPr>
        <w:spacing w:line="360" w:lineRule="exact"/>
        <w:ind w:firstLine="482" w:firstLineChars="200"/>
        <w:rPr>
          <w:rFonts w:ascii="宋体" w:hAnsi="宋体" w:cs="宋体"/>
          <w:sz w:val="24"/>
          <w:szCs w:val="24"/>
          <w:highlight w:val="none"/>
        </w:rPr>
      </w:pPr>
      <w:r>
        <w:rPr>
          <w:rFonts w:hint="eastAsia" w:ascii="宋体" w:hAnsi="宋体"/>
          <w:b/>
          <w:sz w:val="24"/>
          <w:szCs w:val="24"/>
          <w:highlight w:val="none"/>
        </w:rPr>
        <w:t>五、其他要求</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1、服务时间：自签订合同之日起2年。</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2、室外垃圾桶及卫生间垃圾桶由投标人统一投放。投放要求为：卫生间每个蹲位1个； 室外根据实际情况，在达到方便客户使用和保洁目的的前提下，自行配置合理数量。</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3、所有室内外垃圾桶全部要求垃圾袋装化。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4、招标人提供工具室，供其存放设备及充电使用。投标人负责在工具室安装独立的水电表，并每月定期按实际使用量（不包含在合同中约定无偿提供的电量）向招标人交纳水电费。 </w:t>
      </w:r>
    </w:p>
    <w:p>
      <w:pPr>
        <w:pStyle w:val="147"/>
        <w:spacing w:line="360" w:lineRule="exact"/>
        <w:ind w:firstLine="480" w:firstLineChars="200"/>
        <w:rPr>
          <w:rFonts w:ascii="宋体" w:hAnsi="宋体" w:cs="宋体"/>
          <w:color w:val="000000"/>
          <w:sz w:val="24"/>
          <w:szCs w:val="24"/>
          <w:highlight w:val="none"/>
        </w:rPr>
      </w:pPr>
    </w:p>
    <w:p>
      <w:pPr>
        <w:pStyle w:val="3"/>
        <w:pageBreakBefore/>
        <w:rPr>
          <w:rFonts w:cs="宋体"/>
          <w:color w:val="000000"/>
          <w:highlight w:val="none"/>
        </w:rPr>
      </w:pPr>
      <w:bookmarkStart w:id="393" w:name="_Toc505952924"/>
      <w:bookmarkStart w:id="394" w:name="_Toc484129885"/>
      <w:bookmarkStart w:id="395" w:name="_Toc482390686"/>
      <w:bookmarkStart w:id="396" w:name="_Toc482390559"/>
      <w:bookmarkStart w:id="397" w:name="_Toc522293544"/>
      <w:bookmarkStart w:id="398" w:name="_Toc18484"/>
      <w:bookmarkStart w:id="399" w:name="_Toc4841"/>
      <w:bookmarkStart w:id="400" w:name="_Toc4898"/>
      <w:bookmarkStart w:id="401" w:name="_Toc16027"/>
      <w:r>
        <w:rPr>
          <w:rFonts w:hint="eastAsia" w:cs="宋体"/>
          <w:color w:val="000000"/>
          <w:highlight w:val="none"/>
        </w:rPr>
        <w:t xml:space="preserve">第六章  </w:t>
      </w:r>
      <w:bookmarkEnd w:id="393"/>
      <w:bookmarkEnd w:id="394"/>
      <w:bookmarkEnd w:id="395"/>
      <w:bookmarkEnd w:id="396"/>
      <w:r>
        <w:rPr>
          <w:rFonts w:hint="eastAsia" w:cs="宋体"/>
          <w:color w:val="000000"/>
          <w:highlight w:val="none"/>
        </w:rPr>
        <w:t>投标文件格式</w:t>
      </w:r>
      <w:bookmarkEnd w:id="397"/>
      <w:bookmarkEnd w:id="398"/>
      <w:bookmarkEnd w:id="399"/>
      <w:bookmarkEnd w:id="400"/>
      <w:bookmarkEnd w:id="401"/>
    </w:p>
    <w:p>
      <w:pPr>
        <w:rPr>
          <w:rFonts w:ascii="宋体" w:hAnsi="宋体" w:cs="宋体"/>
          <w:color w:val="000000"/>
          <w:highlight w:val="none"/>
        </w:rPr>
      </w:pPr>
    </w:p>
    <w:p>
      <w:pPr>
        <w:rPr>
          <w:rFonts w:ascii="宋体" w:hAnsi="宋体" w:cs="宋体"/>
          <w:color w:val="000000"/>
          <w:highlight w:val="none"/>
          <w:bdr w:val="single" w:color="auto" w:sz="4" w:space="0"/>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jc w:val="center"/>
        <w:outlineLvl w:val="0"/>
        <w:rPr>
          <w:rFonts w:ascii="宋体" w:hAnsi="宋体" w:cs="宋体"/>
          <w:color w:val="000000"/>
          <w:sz w:val="32"/>
          <w:szCs w:val="32"/>
          <w:highlight w:val="none"/>
        </w:rPr>
      </w:pPr>
      <w:bookmarkStart w:id="402" w:name="_Toc27712"/>
      <w:bookmarkStart w:id="403" w:name="_Toc501"/>
      <w:bookmarkStart w:id="404" w:name="_Toc24835"/>
      <w:r>
        <w:rPr>
          <w:rFonts w:hint="eastAsia" w:ascii="宋体" w:hAnsi="宋体" w:cs="宋体"/>
          <w:color w:val="000000"/>
          <w:sz w:val="32"/>
          <w:szCs w:val="32"/>
          <w:highlight w:val="none"/>
        </w:rPr>
        <w:t>____________________（项目名称）</w:t>
      </w:r>
      <w:bookmarkEnd w:id="402"/>
      <w:bookmarkEnd w:id="403"/>
      <w:bookmarkEnd w:id="404"/>
    </w:p>
    <w:p>
      <w:pPr>
        <w:rPr>
          <w:rFonts w:ascii="宋体" w:hAnsi="宋体" w:cs="宋体"/>
          <w:color w:val="000000"/>
          <w:highlight w:val="none"/>
        </w:rPr>
      </w:pPr>
    </w:p>
    <w:p>
      <w:pPr>
        <w:rPr>
          <w:rFonts w:ascii="宋体" w:hAnsi="宋体" w:cs="宋体"/>
          <w:color w:val="000000"/>
          <w:highlight w:val="none"/>
        </w:rPr>
      </w:pPr>
    </w:p>
    <w:p>
      <w:pPr>
        <w:jc w:val="center"/>
        <w:outlineLvl w:val="0"/>
        <w:rPr>
          <w:rFonts w:ascii="宋体" w:hAnsi="宋体" w:cs="宋体"/>
          <w:color w:val="000000"/>
          <w:sz w:val="72"/>
          <w:szCs w:val="72"/>
          <w:highlight w:val="none"/>
        </w:rPr>
      </w:pPr>
      <w:bookmarkStart w:id="405" w:name="_Toc14964"/>
      <w:bookmarkStart w:id="406" w:name="_Toc9855"/>
      <w:bookmarkStart w:id="407" w:name="_Toc3921"/>
      <w:r>
        <w:rPr>
          <w:rFonts w:hint="eastAsia" w:ascii="宋体" w:hAnsi="宋体" w:cs="宋体"/>
          <w:color w:val="000000"/>
          <w:sz w:val="72"/>
          <w:szCs w:val="72"/>
          <w:highlight w:val="none"/>
        </w:rPr>
        <w:t>投   标  文  件</w:t>
      </w:r>
      <w:bookmarkEnd w:id="405"/>
      <w:bookmarkEnd w:id="406"/>
      <w:bookmarkEnd w:id="407"/>
    </w:p>
    <w:p>
      <w:pPr>
        <w:pStyle w:val="2"/>
        <w:ind w:firstLine="2380" w:firstLineChars="850"/>
        <w:rPr>
          <w:rFonts w:asciiTheme="minorEastAsia" w:hAnsiTheme="minorEastAsia" w:eastAsiaTheme="minorEastAsia"/>
          <w:sz w:val="28"/>
          <w:szCs w:val="28"/>
          <w:highlight w:val="none"/>
        </w:rPr>
      </w:pPr>
    </w:p>
    <w:p>
      <w:pPr>
        <w:pStyle w:val="2"/>
        <w:ind w:firstLine="2660" w:firstLineChars="950"/>
        <w:rPr>
          <w:rFonts w:cs="宋体"/>
          <w:color w:val="000000"/>
          <w:szCs w:val="22"/>
          <w:highlight w:val="none"/>
        </w:rPr>
      </w:pPr>
      <w:r>
        <w:rPr>
          <w:rFonts w:hint="eastAsia" w:asciiTheme="minorEastAsia" w:hAnsiTheme="minorEastAsia" w:eastAsiaTheme="minorEastAsia"/>
          <w:sz w:val="28"/>
          <w:szCs w:val="28"/>
          <w:highlight w:val="none"/>
        </w:rPr>
        <w:t>项目编号：</w:t>
      </w:r>
      <w:r>
        <w:rPr>
          <w:rFonts w:hint="eastAsia" w:asciiTheme="minorEastAsia" w:hAnsiTheme="minorEastAsia" w:eastAsiaTheme="minorEastAsia"/>
          <w:sz w:val="28"/>
          <w:szCs w:val="28"/>
          <w:highlight w:val="none"/>
          <w:u w:val="single"/>
        </w:rPr>
        <w:t xml:space="preserve"> </w:t>
      </w:r>
      <w:r>
        <w:rPr>
          <w:rFonts w:hint="eastAsia" w:cs="宋体"/>
          <w:color w:val="000000"/>
          <w:szCs w:val="22"/>
          <w:highlight w:val="none"/>
          <w:u w:val="single"/>
        </w:rPr>
        <w:t xml:space="preserve">                 </w:t>
      </w:r>
      <w:r>
        <w:rPr>
          <w:rFonts w:hint="eastAsia" w:cs="宋体"/>
          <w:color w:val="000000"/>
          <w:szCs w:val="22"/>
          <w:highlight w:val="none"/>
        </w:rPr>
        <w:t xml:space="preserve">  </w:t>
      </w:r>
    </w:p>
    <w:p>
      <w:pPr>
        <w:rPr>
          <w:rFonts w:ascii="宋体" w:hAnsi="宋体" w:cs="宋体"/>
          <w:color w:val="000000"/>
          <w:highlight w:val="none"/>
        </w:rPr>
      </w:pPr>
    </w:p>
    <w:p>
      <w:pPr>
        <w:jc w:val="center"/>
        <w:outlineLvl w:val="0"/>
        <w:rPr>
          <w:rFonts w:ascii="宋体" w:hAnsi="宋体" w:cs="宋体"/>
          <w:b/>
          <w:color w:val="000000"/>
          <w:sz w:val="32"/>
          <w:szCs w:val="32"/>
          <w:highlight w:val="none"/>
        </w:rPr>
      </w:pPr>
      <w:bookmarkStart w:id="408" w:name="_Toc26846"/>
      <w:bookmarkStart w:id="409" w:name="_Toc29103"/>
      <w:bookmarkStart w:id="410" w:name="_Toc18122"/>
      <w:r>
        <w:rPr>
          <w:rFonts w:hint="eastAsia" w:ascii="宋体" w:hAnsi="宋体" w:cs="宋体"/>
          <w:b/>
          <w:color w:val="000000"/>
          <w:sz w:val="32"/>
          <w:szCs w:val="32"/>
          <w:highlight w:val="none"/>
        </w:rPr>
        <w:t>（正本或副本）</w:t>
      </w:r>
      <w:bookmarkEnd w:id="408"/>
      <w:bookmarkEnd w:id="409"/>
      <w:bookmarkEnd w:id="410"/>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ind w:firstLine="640"/>
        <w:jc w:val="left"/>
        <w:outlineLvl w:val="0"/>
        <w:rPr>
          <w:rFonts w:ascii="宋体" w:hAnsi="宋体" w:cs="宋体"/>
          <w:color w:val="000000"/>
          <w:sz w:val="32"/>
          <w:szCs w:val="32"/>
          <w:highlight w:val="none"/>
        </w:rPr>
      </w:pPr>
      <w:bookmarkStart w:id="411" w:name="_Toc24955"/>
      <w:bookmarkStart w:id="412" w:name="_Toc8934"/>
      <w:bookmarkStart w:id="413" w:name="_Toc4195"/>
      <w:r>
        <w:rPr>
          <w:rFonts w:hint="eastAsia" w:ascii="宋体" w:hAnsi="宋体" w:cs="宋体"/>
          <w:color w:val="000000"/>
          <w:sz w:val="32"/>
          <w:szCs w:val="32"/>
          <w:highlight w:val="none"/>
        </w:rPr>
        <w:t>投  标  人：（盖单位章）</w:t>
      </w:r>
      <w:bookmarkEnd w:id="411"/>
      <w:bookmarkEnd w:id="412"/>
      <w:bookmarkEnd w:id="413"/>
    </w:p>
    <w:p>
      <w:pPr>
        <w:ind w:firstLine="640"/>
        <w:rPr>
          <w:rFonts w:ascii="宋体" w:hAnsi="宋体" w:cs="宋体"/>
          <w:color w:val="000000"/>
          <w:sz w:val="32"/>
          <w:szCs w:val="32"/>
          <w:highlight w:val="none"/>
        </w:rPr>
      </w:pPr>
    </w:p>
    <w:p>
      <w:pPr>
        <w:ind w:firstLine="640"/>
        <w:outlineLvl w:val="0"/>
        <w:rPr>
          <w:rFonts w:ascii="宋体" w:hAnsi="宋体" w:cs="宋体"/>
          <w:color w:val="000000"/>
          <w:sz w:val="32"/>
          <w:szCs w:val="32"/>
          <w:highlight w:val="none"/>
        </w:rPr>
      </w:pPr>
      <w:bookmarkStart w:id="414" w:name="_Toc16197"/>
      <w:bookmarkStart w:id="415" w:name="_Toc24410"/>
      <w:bookmarkStart w:id="416" w:name="_Toc32253"/>
      <w:r>
        <w:rPr>
          <w:rFonts w:hint="eastAsia" w:ascii="宋体" w:hAnsi="宋体" w:cs="宋体"/>
          <w:color w:val="000000"/>
          <w:sz w:val="32"/>
          <w:szCs w:val="32"/>
          <w:highlight w:val="none"/>
        </w:rPr>
        <w:t>法定代表人或授权委托人（签    章）</w:t>
      </w:r>
      <w:bookmarkEnd w:id="414"/>
      <w:bookmarkEnd w:id="415"/>
      <w:bookmarkEnd w:id="416"/>
    </w:p>
    <w:p>
      <w:pPr>
        <w:ind w:firstLine="640"/>
        <w:rPr>
          <w:rFonts w:ascii="宋体" w:hAnsi="宋体" w:cs="宋体"/>
          <w:color w:val="000000"/>
          <w:sz w:val="32"/>
          <w:szCs w:val="32"/>
          <w:highlight w:val="none"/>
        </w:rPr>
      </w:pPr>
    </w:p>
    <w:p>
      <w:pPr>
        <w:ind w:firstLine="640"/>
        <w:outlineLvl w:val="0"/>
        <w:rPr>
          <w:rFonts w:ascii="宋体" w:hAnsi="宋体" w:cs="宋体"/>
          <w:color w:val="000000"/>
          <w:sz w:val="32"/>
          <w:szCs w:val="32"/>
          <w:highlight w:val="none"/>
        </w:rPr>
      </w:pPr>
      <w:bookmarkStart w:id="417" w:name="_Toc5498"/>
      <w:bookmarkStart w:id="418" w:name="_Toc24674"/>
      <w:bookmarkStart w:id="419" w:name="_Toc18096"/>
      <w:r>
        <w:rPr>
          <w:rFonts w:hint="eastAsia" w:ascii="宋体" w:hAnsi="宋体" w:cs="宋体"/>
          <w:color w:val="000000"/>
          <w:sz w:val="32"/>
          <w:szCs w:val="32"/>
          <w:highlight w:val="none"/>
        </w:rPr>
        <w:t>日      期：年月日</w:t>
      </w:r>
      <w:bookmarkEnd w:id="417"/>
      <w:bookmarkEnd w:id="418"/>
      <w:bookmarkEnd w:id="419"/>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pStyle w:val="4"/>
        <w:spacing w:line="500" w:lineRule="exact"/>
        <w:rPr>
          <w:rFonts w:cs="宋体"/>
          <w:color w:val="000000"/>
          <w:highlight w:val="none"/>
        </w:rPr>
      </w:pPr>
      <w:r>
        <w:rPr>
          <w:rFonts w:hint="eastAsia" w:cs="宋体"/>
          <w:color w:val="000000"/>
          <w:highlight w:val="none"/>
        </w:rPr>
        <w:br w:type="page"/>
      </w:r>
      <w:bookmarkStart w:id="420" w:name="_Toc522293545"/>
      <w:bookmarkStart w:id="421" w:name="_Toc12428"/>
      <w:bookmarkStart w:id="422" w:name="_Toc18603118"/>
      <w:bookmarkStart w:id="423" w:name="_Toc19033"/>
      <w:bookmarkStart w:id="424" w:name="_Toc1555"/>
      <w:bookmarkStart w:id="425" w:name="_Toc9728"/>
      <w:r>
        <w:rPr>
          <w:rFonts w:hint="eastAsia" w:cs="宋体"/>
          <w:color w:val="000000"/>
          <w:highlight w:val="none"/>
        </w:rPr>
        <w:t>目    录</w:t>
      </w:r>
      <w:bookmarkEnd w:id="420"/>
      <w:bookmarkEnd w:id="421"/>
      <w:bookmarkEnd w:id="422"/>
      <w:bookmarkEnd w:id="423"/>
      <w:bookmarkEnd w:id="424"/>
      <w:bookmarkEnd w:id="425"/>
    </w:p>
    <w:p>
      <w:pPr>
        <w:pStyle w:val="211"/>
        <w:ind w:firstLine="484" w:firstLineChars="202"/>
        <w:rPr>
          <w:rFonts w:ascii="宋体" w:hAnsi="宋体"/>
          <w:sz w:val="24"/>
          <w:szCs w:val="28"/>
          <w:highlight w:val="none"/>
        </w:rPr>
      </w:pPr>
      <w:r>
        <w:rPr>
          <w:rFonts w:hint="eastAsia" w:ascii="宋体" w:hAnsi="宋体"/>
          <w:sz w:val="24"/>
          <w:szCs w:val="28"/>
          <w:highlight w:val="none"/>
        </w:rPr>
        <w:t>开标一览表</w:t>
      </w:r>
    </w:p>
    <w:p>
      <w:pPr>
        <w:pStyle w:val="211"/>
        <w:ind w:firstLine="484" w:firstLineChars="202"/>
        <w:outlineLvl w:val="0"/>
        <w:rPr>
          <w:rFonts w:ascii="宋体" w:hAnsi="宋体"/>
          <w:sz w:val="24"/>
          <w:szCs w:val="28"/>
          <w:highlight w:val="none"/>
        </w:rPr>
      </w:pPr>
      <w:bookmarkStart w:id="426" w:name="_Toc31957"/>
      <w:r>
        <w:rPr>
          <w:rFonts w:hint="eastAsia" w:ascii="宋体" w:hAnsi="宋体"/>
          <w:sz w:val="24"/>
          <w:szCs w:val="28"/>
          <w:highlight w:val="none"/>
        </w:rPr>
        <w:t>一、商务文件</w:t>
      </w:r>
      <w:bookmarkEnd w:id="426"/>
    </w:p>
    <w:p>
      <w:pPr>
        <w:pStyle w:val="211"/>
        <w:ind w:firstLine="484" w:firstLineChars="202"/>
        <w:rPr>
          <w:rFonts w:ascii="宋体" w:hAnsi="宋体"/>
          <w:sz w:val="24"/>
          <w:szCs w:val="28"/>
          <w:highlight w:val="none"/>
        </w:rPr>
      </w:pPr>
      <w:r>
        <w:rPr>
          <w:rFonts w:hint="eastAsia" w:ascii="宋体" w:hAnsi="宋体"/>
          <w:sz w:val="24"/>
          <w:szCs w:val="28"/>
          <w:highlight w:val="none"/>
        </w:rPr>
        <w:t>1、投标函</w:t>
      </w:r>
    </w:p>
    <w:p>
      <w:pPr>
        <w:pStyle w:val="211"/>
        <w:ind w:firstLine="484" w:firstLineChars="202"/>
        <w:rPr>
          <w:rFonts w:ascii="宋体" w:hAnsi="宋体"/>
          <w:sz w:val="24"/>
          <w:szCs w:val="28"/>
          <w:highlight w:val="none"/>
        </w:rPr>
      </w:pPr>
      <w:r>
        <w:rPr>
          <w:rFonts w:hint="eastAsia" w:ascii="宋体" w:hAnsi="宋体"/>
          <w:sz w:val="24"/>
          <w:szCs w:val="28"/>
          <w:highlight w:val="none"/>
        </w:rPr>
        <w:t>2、法人证明文件</w:t>
      </w:r>
    </w:p>
    <w:p>
      <w:pPr>
        <w:pStyle w:val="211"/>
        <w:ind w:firstLine="484" w:firstLineChars="202"/>
        <w:rPr>
          <w:rFonts w:ascii="宋体" w:hAnsi="宋体"/>
          <w:sz w:val="24"/>
          <w:szCs w:val="28"/>
          <w:highlight w:val="none"/>
        </w:rPr>
      </w:pPr>
      <w:r>
        <w:rPr>
          <w:rFonts w:hint="eastAsia" w:ascii="宋体" w:hAnsi="宋体"/>
          <w:sz w:val="24"/>
          <w:szCs w:val="28"/>
          <w:highlight w:val="none"/>
        </w:rPr>
        <w:t>3、授权委托书</w:t>
      </w:r>
    </w:p>
    <w:p>
      <w:pPr>
        <w:pStyle w:val="211"/>
        <w:ind w:firstLine="484" w:firstLineChars="202"/>
        <w:rPr>
          <w:rFonts w:ascii="宋体" w:hAnsi="宋体"/>
          <w:sz w:val="24"/>
          <w:szCs w:val="28"/>
          <w:highlight w:val="none"/>
        </w:rPr>
      </w:pPr>
      <w:r>
        <w:rPr>
          <w:rFonts w:hint="eastAsia" w:ascii="宋体" w:hAnsi="宋体"/>
          <w:sz w:val="24"/>
          <w:szCs w:val="28"/>
          <w:highlight w:val="none"/>
        </w:rPr>
        <w:t>4、技术评审响应偏离说明表</w:t>
      </w:r>
    </w:p>
    <w:p>
      <w:pPr>
        <w:pStyle w:val="211"/>
        <w:ind w:firstLine="484" w:firstLineChars="202"/>
        <w:rPr>
          <w:rFonts w:ascii="宋体" w:hAnsi="宋体"/>
          <w:sz w:val="24"/>
          <w:szCs w:val="28"/>
          <w:highlight w:val="none"/>
        </w:rPr>
      </w:pPr>
      <w:r>
        <w:rPr>
          <w:rFonts w:hint="eastAsia" w:ascii="宋体" w:hAnsi="宋体"/>
          <w:sz w:val="24"/>
          <w:szCs w:val="28"/>
          <w:highlight w:val="none"/>
        </w:rPr>
        <w:t>5、商务评审响应偏离说明表</w:t>
      </w:r>
    </w:p>
    <w:p>
      <w:pPr>
        <w:pStyle w:val="211"/>
        <w:ind w:firstLine="484" w:firstLineChars="202"/>
        <w:rPr>
          <w:rFonts w:ascii="宋体" w:hAnsi="宋体"/>
          <w:sz w:val="24"/>
          <w:szCs w:val="28"/>
          <w:highlight w:val="none"/>
        </w:rPr>
      </w:pPr>
      <w:r>
        <w:rPr>
          <w:rFonts w:hint="eastAsia" w:ascii="宋体" w:hAnsi="宋体"/>
          <w:sz w:val="24"/>
          <w:szCs w:val="28"/>
          <w:highlight w:val="none"/>
        </w:rPr>
        <w:t>6、项目班子成员情况表</w:t>
      </w:r>
    </w:p>
    <w:p>
      <w:pPr>
        <w:pStyle w:val="211"/>
        <w:ind w:firstLine="484" w:firstLineChars="202"/>
        <w:rPr>
          <w:rFonts w:ascii="宋体" w:hAnsi="宋体"/>
          <w:sz w:val="24"/>
          <w:szCs w:val="28"/>
          <w:highlight w:val="none"/>
        </w:rPr>
      </w:pPr>
      <w:r>
        <w:rPr>
          <w:rFonts w:hint="eastAsia" w:ascii="宋体" w:hAnsi="宋体"/>
          <w:sz w:val="24"/>
          <w:szCs w:val="28"/>
          <w:highlight w:val="none"/>
        </w:rPr>
        <w:t>7、拟投入保洁工具及设备情况表</w:t>
      </w:r>
    </w:p>
    <w:p>
      <w:pPr>
        <w:pStyle w:val="211"/>
        <w:ind w:firstLine="484" w:firstLineChars="202"/>
        <w:rPr>
          <w:rFonts w:ascii="宋体" w:hAnsi="宋体"/>
          <w:sz w:val="24"/>
          <w:szCs w:val="28"/>
          <w:highlight w:val="none"/>
        </w:rPr>
      </w:pPr>
      <w:r>
        <w:rPr>
          <w:rFonts w:hint="eastAsia" w:ascii="宋体" w:hAnsi="宋体"/>
          <w:sz w:val="24"/>
          <w:szCs w:val="28"/>
          <w:highlight w:val="none"/>
        </w:rPr>
        <w:t>8、投标人类似项目业绩表</w:t>
      </w:r>
    </w:p>
    <w:p>
      <w:pPr>
        <w:pStyle w:val="211"/>
        <w:ind w:firstLine="484" w:firstLineChars="202"/>
        <w:rPr>
          <w:rFonts w:ascii="宋体" w:hAnsi="宋体"/>
          <w:sz w:val="24"/>
          <w:szCs w:val="28"/>
          <w:highlight w:val="none"/>
        </w:rPr>
      </w:pPr>
      <w:r>
        <w:rPr>
          <w:rFonts w:hint="eastAsia" w:ascii="宋体" w:hAnsi="宋体"/>
          <w:sz w:val="24"/>
          <w:szCs w:val="28"/>
          <w:highlight w:val="none"/>
        </w:rPr>
        <w:t>9、其他（信用信息查询截图及其他证明资料）</w:t>
      </w:r>
    </w:p>
    <w:p>
      <w:pPr>
        <w:pStyle w:val="211"/>
        <w:ind w:firstLine="484" w:firstLineChars="202"/>
        <w:outlineLvl w:val="0"/>
        <w:rPr>
          <w:rFonts w:ascii="宋体" w:hAnsi="宋体"/>
          <w:sz w:val="24"/>
          <w:szCs w:val="28"/>
          <w:highlight w:val="none"/>
        </w:rPr>
      </w:pPr>
      <w:bookmarkStart w:id="427" w:name="_Toc20311"/>
      <w:r>
        <w:rPr>
          <w:rFonts w:hint="eastAsia" w:ascii="宋体" w:hAnsi="宋体"/>
          <w:sz w:val="24"/>
          <w:szCs w:val="28"/>
          <w:highlight w:val="none"/>
        </w:rPr>
        <w:t>二、技术文件</w:t>
      </w:r>
      <w:bookmarkEnd w:id="427"/>
    </w:p>
    <w:p>
      <w:pPr>
        <w:pStyle w:val="58"/>
        <w:rPr>
          <w:rFonts w:ascii="宋体" w:hAnsi="宋体"/>
          <w:szCs w:val="32"/>
          <w:highlight w:val="none"/>
        </w:rPr>
      </w:pPr>
      <w:r>
        <w:rPr>
          <w:rFonts w:ascii="宋体" w:hAnsi="宋体"/>
          <w:b w:val="0"/>
          <w:bCs w:val="0"/>
          <w:sz w:val="24"/>
          <w:highlight w:val="none"/>
        </w:rPr>
        <w:br w:type="page"/>
      </w:r>
      <w:bookmarkStart w:id="428" w:name="_Toc28844"/>
      <w:r>
        <w:rPr>
          <w:rFonts w:ascii="宋体" w:hAnsi="宋体"/>
          <w:szCs w:val="32"/>
          <w:highlight w:val="none"/>
        </w:rPr>
        <w:t>开标一览表</w:t>
      </w:r>
      <w:bookmarkEnd w:id="428"/>
    </w:p>
    <w:p>
      <w:pPr>
        <w:pStyle w:val="211"/>
        <w:ind w:firstLine="420"/>
        <w:rPr>
          <w:rFonts w:ascii="宋体" w:hAnsi="宋体"/>
          <w:sz w:val="20"/>
          <w:szCs w:val="21"/>
          <w:highlight w:val="none"/>
        </w:rPr>
      </w:pPr>
    </w:p>
    <w:p>
      <w:pPr>
        <w:pStyle w:val="96"/>
        <w:spacing w:line="500" w:lineRule="exact"/>
        <w:rPr>
          <w:rFonts w:ascii="宋体" w:hAnsi="宋体"/>
          <w:sz w:val="24"/>
          <w:highlight w:val="none"/>
          <w:u w:val="single"/>
        </w:rPr>
      </w:pPr>
      <w:r>
        <w:rPr>
          <w:rFonts w:hint="eastAsia" w:ascii="宋体" w:hAnsi="宋体"/>
          <w:sz w:val="24"/>
          <w:highlight w:val="none"/>
        </w:rPr>
        <w:t>项目名称:</w:t>
      </w:r>
    </w:p>
    <w:tbl>
      <w:tblPr>
        <w:tblStyle w:val="42"/>
        <w:tblW w:w="8760" w:type="dxa"/>
        <w:tblInd w:w="5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59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2812" w:type="dxa"/>
            <w:vAlign w:val="center"/>
          </w:tcPr>
          <w:p>
            <w:pPr>
              <w:pStyle w:val="96"/>
              <w:spacing w:line="360" w:lineRule="exact"/>
              <w:ind w:left="-38"/>
              <w:jc w:val="center"/>
              <w:rPr>
                <w:rFonts w:ascii="宋体" w:hAnsi="宋体"/>
                <w:sz w:val="24"/>
                <w:highlight w:val="none"/>
              </w:rPr>
            </w:pPr>
            <w:r>
              <w:rPr>
                <w:rFonts w:hint="eastAsia" w:ascii="宋体" w:hAnsi="宋体"/>
                <w:sz w:val="24"/>
                <w:highlight w:val="none"/>
              </w:rPr>
              <w:t>投标报价（元）</w:t>
            </w:r>
          </w:p>
        </w:tc>
        <w:tc>
          <w:tcPr>
            <w:tcW w:w="5948" w:type="dxa"/>
            <w:vAlign w:val="center"/>
          </w:tcPr>
          <w:p>
            <w:pPr>
              <w:pStyle w:val="96"/>
              <w:spacing w:line="360" w:lineRule="exact"/>
              <w:rPr>
                <w:rFonts w:ascii="宋体" w:hAnsi="宋体"/>
                <w:sz w:val="24"/>
                <w:highlight w:val="none"/>
              </w:rPr>
            </w:pPr>
            <w:r>
              <w:rPr>
                <w:rFonts w:hint="eastAsia" w:ascii="宋体" w:hAnsi="宋体"/>
                <w:sz w:val="24"/>
                <w:highlight w:val="none"/>
              </w:rPr>
              <w:t xml:space="preserve">     大写：                   </w:t>
            </w:r>
            <w:r>
              <w:rPr>
                <w:rFonts w:ascii="宋体" w:hAnsi="宋体"/>
                <w:sz w:val="24"/>
                <w:highlight w:val="none"/>
              </w:rPr>
              <w:t>¥</w:t>
            </w:r>
            <w:r>
              <w:rPr>
                <w:rFonts w:hint="eastAsia" w:ascii="宋体" w:hAnsi="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2812" w:type="dxa"/>
            <w:vAlign w:val="center"/>
          </w:tcPr>
          <w:p>
            <w:pPr>
              <w:pStyle w:val="96"/>
              <w:spacing w:line="360" w:lineRule="exact"/>
              <w:ind w:left="-38"/>
              <w:jc w:val="center"/>
              <w:rPr>
                <w:rFonts w:ascii="宋体" w:hAnsi="宋体"/>
                <w:sz w:val="24"/>
                <w:highlight w:val="none"/>
              </w:rPr>
            </w:pPr>
            <w:r>
              <w:rPr>
                <w:rFonts w:hint="eastAsia" w:ascii="宋体" w:hAnsi="宋体"/>
                <w:sz w:val="24"/>
                <w:highlight w:val="none"/>
              </w:rPr>
              <w:t>服务期（年）</w:t>
            </w:r>
          </w:p>
        </w:tc>
        <w:tc>
          <w:tcPr>
            <w:tcW w:w="5948" w:type="dxa"/>
            <w:vAlign w:val="center"/>
          </w:tcPr>
          <w:p>
            <w:pPr>
              <w:pStyle w:val="96"/>
              <w:spacing w:line="360" w:lineRule="exact"/>
              <w:ind w:left="-38"/>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2812" w:type="dxa"/>
            <w:vAlign w:val="center"/>
          </w:tcPr>
          <w:p>
            <w:pPr>
              <w:pStyle w:val="96"/>
              <w:spacing w:line="360" w:lineRule="exact"/>
              <w:ind w:left="-38"/>
              <w:jc w:val="center"/>
              <w:rPr>
                <w:rFonts w:ascii="宋体" w:hAnsi="宋体"/>
                <w:sz w:val="24"/>
                <w:highlight w:val="none"/>
              </w:rPr>
            </w:pPr>
            <w:r>
              <w:rPr>
                <w:rFonts w:hint="eastAsia" w:ascii="宋体" w:hAnsi="宋体"/>
                <w:sz w:val="24"/>
                <w:highlight w:val="none"/>
              </w:rPr>
              <w:t>服务地点</w:t>
            </w:r>
          </w:p>
        </w:tc>
        <w:tc>
          <w:tcPr>
            <w:tcW w:w="5948" w:type="dxa"/>
            <w:vAlign w:val="center"/>
          </w:tcPr>
          <w:p>
            <w:pPr>
              <w:pStyle w:val="96"/>
              <w:spacing w:line="360" w:lineRule="exact"/>
              <w:ind w:left="-38"/>
              <w:rPr>
                <w:rFonts w:ascii="宋体" w:hAnsi="宋体"/>
                <w:sz w:val="24"/>
                <w:highlight w:val="none"/>
              </w:rPr>
            </w:pPr>
          </w:p>
        </w:tc>
      </w:tr>
    </w:tbl>
    <w:p>
      <w:pPr>
        <w:pStyle w:val="96"/>
        <w:spacing w:line="500" w:lineRule="exact"/>
        <w:rPr>
          <w:rFonts w:ascii="宋体" w:hAnsi="宋体"/>
          <w:sz w:val="24"/>
          <w:highlight w:val="none"/>
        </w:rPr>
      </w:pPr>
      <w:r>
        <w:rPr>
          <w:rFonts w:hint="eastAsia" w:ascii="宋体" w:hAnsi="宋体"/>
          <w:sz w:val="24"/>
          <w:highlight w:val="none"/>
        </w:rPr>
        <w:t>注：所有价格均用人民币表示。</w:t>
      </w:r>
    </w:p>
    <w:p>
      <w:pPr>
        <w:pStyle w:val="96"/>
        <w:spacing w:line="500" w:lineRule="exact"/>
        <w:rPr>
          <w:rFonts w:ascii="宋体" w:hAnsi="宋体"/>
          <w:sz w:val="24"/>
          <w:highlight w:val="none"/>
        </w:rPr>
      </w:pPr>
    </w:p>
    <w:p>
      <w:pPr>
        <w:pStyle w:val="96"/>
        <w:spacing w:line="500" w:lineRule="exact"/>
        <w:rPr>
          <w:rFonts w:ascii="宋体" w:hAnsi="宋体"/>
          <w:sz w:val="24"/>
          <w:highlight w:val="none"/>
        </w:rPr>
      </w:pPr>
    </w:p>
    <w:p>
      <w:pPr>
        <w:pStyle w:val="96"/>
        <w:spacing w:line="500" w:lineRule="exact"/>
        <w:rPr>
          <w:rFonts w:ascii="宋体" w:hAnsi="宋体"/>
          <w:sz w:val="24"/>
          <w:highlight w:val="none"/>
        </w:rPr>
      </w:pPr>
    </w:p>
    <w:p>
      <w:pPr>
        <w:pStyle w:val="242"/>
        <w:spacing w:line="500" w:lineRule="exact"/>
        <w:ind w:firstLine="720"/>
        <w:rPr>
          <w:rFonts w:hAnsi="宋体"/>
          <w:sz w:val="24"/>
          <w:szCs w:val="24"/>
          <w:highlight w:val="none"/>
          <w:u w:val="single"/>
        </w:rPr>
      </w:pPr>
      <w:r>
        <w:rPr>
          <w:rFonts w:hint="eastAsia" w:hAnsi="宋体"/>
          <w:sz w:val="24"/>
          <w:szCs w:val="24"/>
          <w:highlight w:val="none"/>
        </w:rPr>
        <w:t>投标单位名称（签章）：</w:t>
      </w:r>
    </w:p>
    <w:p>
      <w:pPr>
        <w:pStyle w:val="242"/>
        <w:spacing w:line="500" w:lineRule="exact"/>
        <w:ind w:firstLine="720" w:firstLineChars="300"/>
        <w:rPr>
          <w:rFonts w:hAnsi="宋体"/>
          <w:sz w:val="24"/>
          <w:szCs w:val="24"/>
          <w:highlight w:val="none"/>
          <w:u w:val="single"/>
        </w:rPr>
      </w:pPr>
      <w:r>
        <w:rPr>
          <w:rFonts w:hint="eastAsia" w:hAnsi="宋体"/>
          <w:sz w:val="24"/>
          <w:szCs w:val="24"/>
          <w:highlight w:val="none"/>
        </w:rPr>
        <w:t>法定代表人（签章）:</w:t>
      </w:r>
    </w:p>
    <w:p>
      <w:pPr>
        <w:pStyle w:val="111"/>
        <w:ind w:firstLine="720" w:firstLineChars="300"/>
        <w:rPr>
          <w:rFonts w:ascii="宋体" w:hAnsi="宋体"/>
          <w:b w:val="0"/>
          <w:bCs w:val="0"/>
          <w:sz w:val="24"/>
          <w:szCs w:val="24"/>
          <w:highlight w:val="none"/>
        </w:rPr>
      </w:pPr>
      <w:r>
        <w:rPr>
          <w:rFonts w:hint="eastAsia" w:ascii="宋体" w:hAnsi="宋体"/>
          <w:b w:val="0"/>
          <w:sz w:val="24"/>
          <w:szCs w:val="24"/>
          <w:highlight w:val="none"/>
        </w:rPr>
        <w:t xml:space="preserve">日    期：年月日 </w:t>
      </w:r>
    </w:p>
    <w:p>
      <w:pPr>
        <w:pStyle w:val="111"/>
        <w:outlineLvl w:val="9"/>
        <w:rPr>
          <w:rFonts w:ascii="宋体" w:hAnsi="宋体"/>
          <w:highlight w:val="none"/>
        </w:rPr>
      </w:pPr>
    </w:p>
    <w:p>
      <w:pPr>
        <w:pStyle w:val="211"/>
        <w:rPr>
          <w:rFonts w:ascii="宋体" w:hAnsi="宋体"/>
          <w:b/>
          <w:bCs/>
          <w:sz w:val="24"/>
          <w:szCs w:val="28"/>
          <w:highlight w:val="none"/>
        </w:rPr>
      </w:pPr>
    </w:p>
    <w:p>
      <w:pPr>
        <w:pStyle w:val="211"/>
        <w:jc w:val="center"/>
        <w:outlineLvl w:val="0"/>
        <w:rPr>
          <w:rFonts w:ascii="宋体" w:hAnsi="宋体"/>
          <w:b/>
          <w:sz w:val="28"/>
          <w:szCs w:val="32"/>
          <w:highlight w:val="none"/>
        </w:rPr>
      </w:pPr>
      <w:r>
        <w:rPr>
          <w:rFonts w:ascii="宋体" w:hAnsi="宋体"/>
          <w:sz w:val="20"/>
          <w:highlight w:val="none"/>
        </w:rPr>
        <w:br w:type="page"/>
      </w:r>
      <w:bookmarkStart w:id="429" w:name="_Toc10125"/>
      <w:r>
        <w:rPr>
          <w:rFonts w:hint="eastAsia" w:ascii="宋体" w:hAnsi="宋体"/>
          <w:b/>
          <w:sz w:val="28"/>
          <w:szCs w:val="32"/>
          <w:highlight w:val="none"/>
        </w:rPr>
        <w:t>一、商务文件</w:t>
      </w:r>
      <w:bookmarkEnd w:id="429"/>
    </w:p>
    <w:p>
      <w:pPr>
        <w:pStyle w:val="211"/>
        <w:spacing w:line="500" w:lineRule="exact"/>
        <w:jc w:val="center"/>
        <w:outlineLvl w:val="1"/>
        <w:rPr>
          <w:rFonts w:ascii="宋体" w:hAnsi="宋体"/>
          <w:b/>
          <w:kern w:val="0"/>
          <w:sz w:val="24"/>
          <w:szCs w:val="28"/>
          <w:highlight w:val="none"/>
        </w:rPr>
      </w:pPr>
      <w:bookmarkStart w:id="430" w:name="_Toc16889"/>
      <w:r>
        <w:rPr>
          <w:rFonts w:hint="eastAsia" w:ascii="宋体" w:hAnsi="宋体"/>
          <w:b/>
          <w:kern w:val="0"/>
          <w:sz w:val="24"/>
          <w:szCs w:val="28"/>
          <w:highlight w:val="none"/>
        </w:rPr>
        <w:t>1、 投 标 函</w:t>
      </w:r>
      <w:bookmarkEnd w:id="430"/>
    </w:p>
    <w:p>
      <w:pPr>
        <w:widowControl/>
        <w:adjustRightInd w:val="0"/>
        <w:snapToGrid w:val="0"/>
        <w:spacing w:before="120" w:after="120" w:line="500" w:lineRule="exact"/>
        <w:ind w:left="1072" w:hanging="1072"/>
        <w:jc w:val="left"/>
        <w:rPr>
          <w:rFonts w:ascii="宋体" w:hAnsi="宋体"/>
          <w:sz w:val="24"/>
          <w:szCs w:val="28"/>
          <w:highlight w:val="none"/>
        </w:rPr>
      </w:pPr>
      <w:r>
        <w:rPr>
          <w:rFonts w:hint="eastAsia" w:ascii="宋体" w:hAnsi="宋体"/>
          <w:sz w:val="24"/>
          <w:szCs w:val="28"/>
          <w:highlight w:val="none"/>
          <w:u w:val="single"/>
        </w:rPr>
        <w:t>（代理机构名称）</w:t>
      </w:r>
      <w:r>
        <w:rPr>
          <w:rFonts w:hint="eastAsia" w:ascii="宋体" w:hAnsi="宋体"/>
          <w:sz w:val="24"/>
          <w:szCs w:val="28"/>
          <w:highlight w:val="none"/>
        </w:rPr>
        <w:t>：</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依据贵方 (项目名称/项目编号) 项目服务招标的投标邀请，我方代表 （姓名、职务）经正式授权并代表投标人（投标人名称、地址）提交下述投标文件一正一副</w:t>
      </w:r>
      <w:r>
        <w:rPr>
          <w:rFonts w:hint="eastAsia" w:ascii="宋体" w:hAnsi="宋体"/>
          <w:color w:val="000000"/>
          <w:sz w:val="24"/>
          <w:szCs w:val="28"/>
          <w:highlight w:val="none"/>
        </w:rPr>
        <w:t>，</w:t>
      </w:r>
      <w:r>
        <w:rPr>
          <w:rFonts w:ascii="宋体" w:hAnsi="宋体"/>
          <w:color w:val="000000"/>
          <w:sz w:val="24"/>
          <w:szCs w:val="28"/>
          <w:highlight w:val="none"/>
        </w:rPr>
        <w:t>另附电子</w:t>
      </w:r>
      <w:r>
        <w:rPr>
          <w:rFonts w:hint="eastAsia" w:ascii="宋体" w:hAnsi="宋体"/>
          <w:color w:val="000000"/>
          <w:sz w:val="24"/>
          <w:szCs w:val="28"/>
          <w:highlight w:val="none"/>
        </w:rPr>
        <w:t>投标文件两</w:t>
      </w:r>
      <w:r>
        <w:rPr>
          <w:rFonts w:ascii="宋体" w:hAnsi="宋体"/>
          <w:color w:val="000000"/>
          <w:sz w:val="24"/>
          <w:szCs w:val="28"/>
          <w:highlight w:val="none"/>
        </w:rPr>
        <w:t>份</w:t>
      </w:r>
      <w:r>
        <w:rPr>
          <w:rFonts w:hint="eastAsia" w:ascii="宋体" w:hAnsi="宋体"/>
          <w:color w:val="000000"/>
          <w:sz w:val="24"/>
          <w:szCs w:val="28"/>
          <w:highlight w:val="none"/>
        </w:rPr>
        <w:t>（光盘或U盘）</w:t>
      </w:r>
      <w:r>
        <w:rPr>
          <w:rFonts w:hint="eastAsia" w:ascii="宋体" w:hAnsi="宋体"/>
          <w:snapToGrid w:val="0"/>
          <w:sz w:val="24"/>
          <w:szCs w:val="28"/>
          <w:highlight w:val="none"/>
        </w:rPr>
        <w:t>。</w:t>
      </w:r>
    </w:p>
    <w:p>
      <w:pPr>
        <w:pStyle w:val="211"/>
        <w:numPr>
          <w:ilvl w:val="0"/>
          <w:numId w:val="3"/>
        </w:numPr>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投标函；</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2. 开标一览表；</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3. 按招标文件投标人须知和技术规格要求提供的有关文件；</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4. 资格证明文件；</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在此，我方宣布同意如下：</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1. 所附《开标一览表》中规定的应提交和交付的投标总价为（注明币种，并用文字和数字表示的投标总价）。</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2. 将按招标文件的约定履行合同责任和义务。</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3. 已详细审查全部招标文件，包括（修正或补充文件）（如果有的话），对此无异议。</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4. 本投标有效期为自开标日起共</w:t>
      </w:r>
      <w:r>
        <w:rPr>
          <w:rFonts w:hint="eastAsia" w:ascii="宋体" w:hAnsi="宋体"/>
          <w:snapToGrid w:val="0"/>
          <w:sz w:val="24"/>
          <w:szCs w:val="28"/>
          <w:highlight w:val="none"/>
          <w:u w:val="single"/>
        </w:rPr>
        <w:t xml:space="preserve"> 90 </w:t>
      </w:r>
      <w:r>
        <w:rPr>
          <w:rFonts w:hint="eastAsia" w:ascii="宋体" w:hAnsi="宋体"/>
          <w:snapToGrid w:val="0"/>
          <w:sz w:val="24"/>
          <w:szCs w:val="28"/>
          <w:highlight w:val="none"/>
        </w:rPr>
        <w:t>个日历日。</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5. 同意提供按照贵方可能要求的与其投标有关的一切数据或资料。</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6. 与本投标有关的一切正式往来信函请寄：</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 xml:space="preserve">投标人名称(公章)： </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 xml:space="preserve">法定代表人签章： </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 xml:space="preserve">地 址： </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 xml:space="preserve">传 真： </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 xml:space="preserve">电 话： </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 xml:space="preserve">电子函件： </w:t>
      </w:r>
    </w:p>
    <w:p>
      <w:pPr>
        <w:pStyle w:val="211"/>
        <w:spacing w:line="400" w:lineRule="exact"/>
        <w:ind w:firstLine="480" w:firstLineChars="200"/>
        <w:rPr>
          <w:rFonts w:ascii="宋体" w:hAnsi="宋体"/>
          <w:snapToGrid w:val="0"/>
          <w:sz w:val="24"/>
          <w:szCs w:val="28"/>
          <w:highlight w:val="none"/>
        </w:rPr>
      </w:pPr>
      <w:r>
        <w:rPr>
          <w:rFonts w:hint="eastAsia" w:ascii="宋体" w:hAnsi="宋体"/>
          <w:snapToGrid w:val="0"/>
          <w:sz w:val="24"/>
          <w:szCs w:val="28"/>
          <w:highlight w:val="none"/>
        </w:rPr>
        <w:t xml:space="preserve">日期： </w:t>
      </w:r>
    </w:p>
    <w:p>
      <w:pPr>
        <w:pStyle w:val="211"/>
        <w:tabs>
          <w:tab w:val="left" w:pos="540"/>
        </w:tabs>
        <w:spacing w:line="400" w:lineRule="exact"/>
        <w:jc w:val="left"/>
        <w:rPr>
          <w:rFonts w:ascii="宋体" w:hAnsi="宋体"/>
          <w:sz w:val="24"/>
          <w:szCs w:val="28"/>
          <w:highlight w:val="none"/>
        </w:rPr>
      </w:pPr>
    </w:p>
    <w:p>
      <w:pPr>
        <w:pStyle w:val="211"/>
        <w:spacing w:line="360" w:lineRule="exact"/>
        <w:jc w:val="left"/>
        <w:rPr>
          <w:rFonts w:ascii="宋体" w:hAnsi="宋体"/>
          <w:spacing w:val="-4"/>
          <w:sz w:val="24"/>
          <w:szCs w:val="28"/>
          <w:highlight w:val="none"/>
        </w:rPr>
      </w:pPr>
    </w:p>
    <w:p>
      <w:pPr>
        <w:pStyle w:val="211"/>
        <w:spacing w:line="360" w:lineRule="exact"/>
        <w:jc w:val="left"/>
        <w:rPr>
          <w:rFonts w:ascii="宋体" w:hAnsi="宋体"/>
          <w:spacing w:val="-4"/>
          <w:sz w:val="24"/>
          <w:szCs w:val="28"/>
          <w:highlight w:val="none"/>
        </w:rPr>
      </w:pPr>
    </w:p>
    <w:p>
      <w:pPr>
        <w:pStyle w:val="211"/>
        <w:spacing w:line="360" w:lineRule="exact"/>
        <w:jc w:val="left"/>
        <w:rPr>
          <w:rFonts w:ascii="宋体" w:hAnsi="宋体"/>
          <w:spacing w:val="-4"/>
          <w:sz w:val="24"/>
          <w:szCs w:val="28"/>
          <w:highlight w:val="none"/>
        </w:rPr>
      </w:pPr>
    </w:p>
    <w:p>
      <w:pPr>
        <w:pStyle w:val="211"/>
        <w:spacing w:line="360" w:lineRule="exact"/>
        <w:jc w:val="center"/>
        <w:rPr>
          <w:rFonts w:ascii="宋体" w:hAnsi="宋体"/>
          <w:spacing w:val="-4"/>
          <w:sz w:val="24"/>
          <w:szCs w:val="28"/>
          <w:highlight w:val="none"/>
        </w:rPr>
      </w:pPr>
    </w:p>
    <w:p>
      <w:pPr>
        <w:pStyle w:val="211"/>
        <w:spacing w:line="360" w:lineRule="exact"/>
        <w:jc w:val="center"/>
        <w:rPr>
          <w:rFonts w:ascii="宋体" w:hAnsi="宋体"/>
          <w:spacing w:val="-4"/>
          <w:sz w:val="24"/>
          <w:szCs w:val="28"/>
          <w:highlight w:val="none"/>
        </w:rPr>
      </w:pPr>
    </w:p>
    <w:p>
      <w:pPr>
        <w:pStyle w:val="211"/>
        <w:spacing w:line="360" w:lineRule="auto"/>
        <w:rPr>
          <w:rFonts w:ascii="宋体" w:hAnsi="宋体"/>
          <w:b/>
          <w:bCs/>
          <w:sz w:val="28"/>
          <w:szCs w:val="32"/>
          <w:highlight w:val="none"/>
        </w:rPr>
      </w:pPr>
    </w:p>
    <w:p>
      <w:pPr>
        <w:pStyle w:val="211"/>
        <w:spacing w:line="360" w:lineRule="auto"/>
        <w:rPr>
          <w:rFonts w:ascii="宋体" w:hAnsi="宋体"/>
          <w:b/>
          <w:bCs/>
          <w:sz w:val="28"/>
          <w:szCs w:val="32"/>
          <w:highlight w:val="none"/>
        </w:rPr>
      </w:pPr>
    </w:p>
    <w:p>
      <w:pPr>
        <w:pStyle w:val="211"/>
        <w:spacing w:line="360" w:lineRule="auto"/>
        <w:jc w:val="center"/>
        <w:rPr>
          <w:rFonts w:ascii="宋体" w:hAnsi="宋体"/>
          <w:b/>
          <w:bCs/>
          <w:sz w:val="28"/>
          <w:szCs w:val="32"/>
          <w:highlight w:val="none"/>
        </w:rPr>
      </w:pPr>
      <w:r>
        <w:rPr>
          <w:rFonts w:hint="eastAsia" w:ascii="宋体" w:hAnsi="宋体" w:cs="宋体"/>
          <w:b/>
          <w:sz w:val="28"/>
          <w:szCs w:val="28"/>
          <w:highlight w:val="none"/>
        </w:rPr>
        <w:t>投标</w:t>
      </w:r>
      <w:r>
        <w:rPr>
          <w:rFonts w:hint="eastAsia" w:ascii="宋体" w:hAnsi="宋体"/>
          <w:b/>
          <w:bCs/>
          <w:sz w:val="28"/>
          <w:szCs w:val="32"/>
          <w:highlight w:val="none"/>
        </w:rPr>
        <w:t>报价明细表</w:t>
      </w:r>
    </w:p>
    <w:p>
      <w:pPr>
        <w:adjustRightInd w:val="0"/>
        <w:snapToGrid w:val="0"/>
        <w:spacing w:line="440" w:lineRule="exact"/>
        <w:ind w:left="-88" w:leftChars="-42" w:firstLine="360" w:firstLineChars="150"/>
        <w:outlineLvl w:val="0"/>
        <w:rPr>
          <w:rFonts w:ascii="宋体" w:hAnsi="宋体"/>
          <w:sz w:val="24"/>
          <w:highlight w:val="none"/>
          <w:u w:val="single"/>
        </w:rPr>
      </w:pPr>
    </w:p>
    <w:tbl>
      <w:tblPr>
        <w:tblStyle w:val="42"/>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953"/>
        <w:gridCol w:w="992"/>
        <w:gridCol w:w="567"/>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分类项目</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单位</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单价(元)</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合价</w:t>
            </w:r>
          </w:p>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招商中心办公楼及B区停车场（卡丁车周围）室外场地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公铁联运港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汽车城A区一楼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汽车城A区二楼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汽车城B区一楼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A区三楼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B区三楼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B区二楼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服务大厅、中心广场、A区停车场、大门水景池</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汽车城卫生间、电梯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垃圾转运及垃圾池维护、消杀</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驻场主管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w:t>
            </w:r>
          </w:p>
        </w:tc>
        <w:tc>
          <w:tcPr>
            <w:tcW w:w="595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一</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保洁人员工资年费用小计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元/2年</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二</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其他费用年小计（含高压清洗机、洒水车油费、保洁工具、保洁设备、工作服、耗材等其他要求的所有费用）</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元/2年</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三</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管理费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元/2年</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四</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税金费用小计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元/2年</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left="-88" w:leftChars="-42"/>
              <w:jc w:val="center"/>
              <w:outlineLvl w:val="0"/>
              <w:rPr>
                <w:rFonts w:asciiTheme="minorEastAsia" w:hAnsiTheme="minorEastAsia" w:eastAsiaTheme="minorEastAsia"/>
                <w:bCs/>
                <w:sz w:val="24"/>
                <w:szCs w:val="24"/>
                <w:highlight w:val="none"/>
              </w:rPr>
            </w:pPr>
            <w:r>
              <w:rPr>
                <w:rFonts w:hint="eastAsia" w:asciiTheme="minorEastAsia" w:hAnsiTheme="minorEastAsia" w:eastAsiaTheme="minorEastAsia"/>
                <w:b/>
                <w:sz w:val="24"/>
                <w:szCs w:val="24"/>
                <w:highlight w:val="none"/>
              </w:rPr>
              <w:t>五</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含税服务费用总价</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元/2年</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left="-88" w:leftChars="-42"/>
              <w:jc w:val="center"/>
              <w:outlineLvl w:val="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六</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不含税总价</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jc w:val="center"/>
              <w:outlineLvl w:val="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元/2年</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88" w:leftChars="-42"/>
              <w:outlineLvl w:val="0"/>
              <w:rPr>
                <w:rFonts w:asciiTheme="minorEastAsia" w:hAnsiTheme="minorEastAsia" w:eastAsiaTheme="minorEastAsia"/>
                <w:b/>
                <w:bCs/>
                <w:sz w:val="24"/>
                <w:szCs w:val="24"/>
                <w:highlight w:val="none"/>
              </w:rPr>
            </w:pPr>
          </w:p>
        </w:tc>
      </w:tr>
    </w:tbl>
    <w:p>
      <w:pPr>
        <w:adjustRightInd w:val="0"/>
        <w:snapToGrid w:val="0"/>
        <w:spacing w:line="300" w:lineRule="exact"/>
        <w:outlineLvl w:val="0"/>
        <w:rPr>
          <w:rFonts w:ascii="宋体" w:hAnsi="宋体"/>
          <w:szCs w:val="21"/>
          <w:highlight w:val="none"/>
        </w:rPr>
      </w:pPr>
      <w:r>
        <w:rPr>
          <w:rFonts w:hint="eastAsia" w:ascii="宋体" w:hAnsi="宋体"/>
          <w:szCs w:val="21"/>
          <w:highlight w:val="none"/>
        </w:rPr>
        <w:t>说明：1、所有价格均用人民币表示，所有价格均用人民币表示，服务年费用采用总价包干，应是完成本投标须知和合同条款上所列服务范围、服务内容与服务期限的全部工作。</w:t>
      </w:r>
    </w:p>
    <w:p>
      <w:pPr>
        <w:adjustRightInd w:val="0"/>
        <w:snapToGrid w:val="0"/>
        <w:spacing w:line="300" w:lineRule="exact"/>
        <w:outlineLvl w:val="0"/>
        <w:rPr>
          <w:rFonts w:ascii="宋体" w:hAnsi="宋体"/>
          <w:szCs w:val="21"/>
          <w:highlight w:val="none"/>
        </w:rPr>
      </w:pPr>
      <w:r>
        <w:rPr>
          <w:rFonts w:hint="eastAsia" w:ascii="宋体" w:hAnsi="宋体"/>
          <w:szCs w:val="21"/>
          <w:highlight w:val="none"/>
        </w:rPr>
        <w:t>2、投标人应按照第四章“合同条款”及第五章“商务及技术要求”规定的内容进行报价。投标报价中所报的单价和合价，以及投标报价汇总表中的价格均包括完成该服务项目的保洁人员工资、社会保险、服装费、人身意外伤害险、福利、节假日加班费、技能培训费、人员餐费等，同时还包括承包单位管理费、法定税金、防暑降温费、公共卫生费、合理利润等一切费用及投标人认为或应该知道需计入的费用。</w:t>
      </w:r>
    </w:p>
    <w:p>
      <w:pPr>
        <w:spacing w:line="300" w:lineRule="exact"/>
        <w:rPr>
          <w:rFonts w:ascii="宋体" w:hAnsi="宋体"/>
          <w:b/>
          <w:szCs w:val="21"/>
          <w:highlight w:val="none"/>
        </w:rPr>
      </w:pPr>
      <w:r>
        <w:rPr>
          <w:rFonts w:hint="eastAsia" w:ascii="宋体" w:hAnsi="宋体"/>
          <w:szCs w:val="21"/>
          <w:highlight w:val="none"/>
        </w:rPr>
        <w:t>3、如果不提供详细的投标明细报价表将被视为没有实质性响应招标文件。</w:t>
      </w:r>
    </w:p>
    <w:p>
      <w:pPr>
        <w:pStyle w:val="23"/>
        <w:spacing w:line="400" w:lineRule="exact"/>
        <w:ind w:firstLine="480" w:firstLineChars="200"/>
        <w:jc w:val="left"/>
        <w:rPr>
          <w:rFonts w:hAnsi="宋体" w:cs="仿宋_GB2312"/>
          <w:sz w:val="24"/>
          <w:szCs w:val="24"/>
          <w:highlight w:val="none"/>
          <w:u w:val="single"/>
        </w:rPr>
      </w:pPr>
      <w:r>
        <w:rPr>
          <w:rFonts w:hint="eastAsia" w:hAnsi="宋体" w:cs="仿宋_GB2312"/>
          <w:sz w:val="24"/>
          <w:szCs w:val="24"/>
          <w:highlight w:val="none"/>
        </w:rPr>
        <w:t>投标人名称（盖章）：</w:t>
      </w:r>
    </w:p>
    <w:p>
      <w:pPr>
        <w:pStyle w:val="56"/>
        <w:widowControl/>
        <w:spacing w:line="400" w:lineRule="exact"/>
        <w:ind w:firstLine="480" w:firstLineChars="200"/>
        <w:jc w:val="left"/>
        <w:outlineLvl w:val="0"/>
        <w:rPr>
          <w:rFonts w:hAnsi="宋体"/>
          <w:sz w:val="24"/>
          <w:highlight w:val="none"/>
        </w:rPr>
      </w:pPr>
      <w:r>
        <w:rPr>
          <w:rFonts w:hint="eastAsia" w:hAnsi="宋体"/>
          <w:sz w:val="24"/>
          <w:szCs w:val="24"/>
          <w:highlight w:val="none"/>
        </w:rPr>
        <w:t xml:space="preserve">法定代表人或委托代理人签字：                       </w:t>
      </w:r>
      <w:r>
        <w:rPr>
          <w:rFonts w:hint="eastAsia" w:hAnsi="宋体"/>
          <w:sz w:val="24"/>
          <w:highlight w:val="none"/>
        </w:rPr>
        <w:t>时间：   年    月     日</w:t>
      </w:r>
    </w:p>
    <w:p>
      <w:pPr>
        <w:pStyle w:val="56"/>
        <w:widowControl/>
        <w:spacing w:line="400" w:lineRule="exact"/>
        <w:ind w:firstLine="562" w:firstLineChars="200"/>
        <w:jc w:val="left"/>
        <w:outlineLvl w:val="0"/>
        <w:rPr>
          <w:rFonts w:ascii="宋体" w:hAnsi="宋体" w:cs="宋体"/>
          <w:b/>
          <w:color w:val="FF0000"/>
          <w:sz w:val="28"/>
          <w:szCs w:val="28"/>
          <w:highlight w:val="none"/>
        </w:rPr>
      </w:pPr>
    </w:p>
    <w:p>
      <w:pPr>
        <w:autoSpaceDE w:val="0"/>
        <w:autoSpaceDN w:val="0"/>
        <w:adjustRightInd w:val="0"/>
        <w:spacing w:line="500" w:lineRule="exact"/>
        <w:jc w:val="center"/>
        <w:outlineLvl w:val="2"/>
        <w:rPr>
          <w:rFonts w:hint="eastAsia" w:ascii="宋体" w:hAnsi="宋体"/>
          <w:b/>
          <w:sz w:val="28"/>
          <w:szCs w:val="32"/>
          <w:highlight w:val="none"/>
        </w:rPr>
      </w:pPr>
      <w:bookmarkStart w:id="431" w:name="_Toc18039"/>
    </w:p>
    <w:p>
      <w:pPr>
        <w:autoSpaceDE w:val="0"/>
        <w:autoSpaceDN w:val="0"/>
        <w:adjustRightInd w:val="0"/>
        <w:spacing w:line="500" w:lineRule="exact"/>
        <w:jc w:val="center"/>
        <w:outlineLvl w:val="2"/>
        <w:rPr>
          <w:rFonts w:hint="eastAsia" w:ascii="宋体" w:hAnsi="宋体"/>
          <w:b/>
          <w:sz w:val="28"/>
          <w:szCs w:val="32"/>
          <w:highlight w:val="none"/>
        </w:rPr>
      </w:pPr>
    </w:p>
    <w:p>
      <w:pPr>
        <w:autoSpaceDE w:val="0"/>
        <w:autoSpaceDN w:val="0"/>
        <w:adjustRightInd w:val="0"/>
        <w:spacing w:line="500" w:lineRule="exact"/>
        <w:jc w:val="center"/>
        <w:outlineLvl w:val="2"/>
        <w:rPr>
          <w:rFonts w:hint="eastAsia" w:ascii="宋体" w:hAnsi="宋体"/>
          <w:b/>
          <w:sz w:val="28"/>
          <w:szCs w:val="32"/>
          <w:highlight w:val="none"/>
        </w:rPr>
      </w:pPr>
    </w:p>
    <w:p>
      <w:pPr>
        <w:autoSpaceDE w:val="0"/>
        <w:autoSpaceDN w:val="0"/>
        <w:adjustRightInd w:val="0"/>
        <w:spacing w:line="500" w:lineRule="exact"/>
        <w:jc w:val="center"/>
        <w:outlineLvl w:val="2"/>
        <w:rPr>
          <w:rFonts w:ascii="宋体" w:hAnsi="宋体"/>
          <w:b/>
          <w:sz w:val="28"/>
          <w:szCs w:val="28"/>
          <w:highlight w:val="none"/>
        </w:rPr>
      </w:pPr>
      <w:r>
        <w:rPr>
          <w:rFonts w:hint="eastAsia" w:ascii="宋体" w:hAnsi="宋体"/>
          <w:b/>
          <w:sz w:val="28"/>
          <w:szCs w:val="32"/>
          <w:highlight w:val="none"/>
        </w:rPr>
        <w:t>2、</w:t>
      </w:r>
      <w:bookmarkEnd w:id="431"/>
      <w:r>
        <w:rPr>
          <w:rFonts w:hint="eastAsia" w:ascii="宋体" w:hAnsi="宋体"/>
          <w:b/>
          <w:sz w:val="28"/>
          <w:szCs w:val="28"/>
          <w:highlight w:val="none"/>
        </w:rPr>
        <w:t>法定代表人资格证明文件</w:t>
      </w:r>
    </w:p>
    <w:p>
      <w:pPr>
        <w:widowControl/>
        <w:adjustRightInd w:val="0"/>
        <w:snapToGrid w:val="0"/>
        <w:spacing w:before="120" w:after="120" w:line="500" w:lineRule="exact"/>
        <w:ind w:left="1072" w:hanging="1072"/>
        <w:jc w:val="left"/>
        <w:rPr>
          <w:rFonts w:ascii="宋体" w:hAnsi="宋体"/>
          <w:sz w:val="28"/>
          <w:szCs w:val="28"/>
          <w:highlight w:val="none"/>
        </w:rPr>
      </w:pPr>
      <w:r>
        <w:rPr>
          <w:rFonts w:hint="eastAsia" w:ascii="宋体" w:hAnsi="宋体"/>
          <w:sz w:val="28"/>
          <w:szCs w:val="28"/>
          <w:highlight w:val="none"/>
          <w:u w:val="single"/>
        </w:rPr>
        <w:t>（代理机构名称）</w:t>
      </w:r>
      <w:r>
        <w:rPr>
          <w:rFonts w:hint="eastAsia" w:ascii="宋体" w:hAnsi="宋体"/>
          <w:sz w:val="28"/>
          <w:szCs w:val="28"/>
          <w:highlight w:val="none"/>
        </w:rPr>
        <w:t>：</w:t>
      </w:r>
    </w:p>
    <w:p>
      <w:pPr>
        <w:widowControl/>
        <w:adjustRightInd w:val="0"/>
        <w:snapToGrid w:val="0"/>
        <w:spacing w:before="120" w:after="120" w:line="500" w:lineRule="exact"/>
        <w:ind w:firstLine="420" w:firstLineChars="150"/>
        <w:jc w:val="left"/>
        <w:rPr>
          <w:rFonts w:ascii="宋体" w:hAnsi="宋体"/>
          <w:sz w:val="28"/>
          <w:szCs w:val="28"/>
          <w:highlight w:val="none"/>
        </w:rPr>
      </w:pPr>
      <w:r>
        <w:rPr>
          <w:rFonts w:hint="eastAsia" w:ascii="宋体" w:hAnsi="宋体"/>
          <w:sz w:val="28"/>
          <w:szCs w:val="28"/>
          <w:highlight w:val="none"/>
        </w:rPr>
        <w:t xml:space="preserve">兹有同志为法定代表人，代表我单位办理一切社会公务事宜，具有法律效力。 </w:t>
      </w:r>
    </w:p>
    <w:p>
      <w:pPr>
        <w:widowControl/>
        <w:adjustRightInd w:val="0"/>
        <w:snapToGrid w:val="0"/>
        <w:spacing w:before="120" w:after="120" w:line="500" w:lineRule="exact"/>
        <w:ind w:left="1069" w:leftChars="200" w:hanging="649" w:hangingChars="232"/>
        <w:jc w:val="left"/>
        <w:rPr>
          <w:rFonts w:ascii="宋体" w:hAnsi="宋体"/>
          <w:sz w:val="28"/>
          <w:szCs w:val="28"/>
          <w:highlight w:val="none"/>
        </w:rPr>
      </w:pPr>
      <w:r>
        <w:rPr>
          <w:rFonts w:hint="eastAsia" w:ascii="宋体" w:hAnsi="宋体"/>
          <w:sz w:val="28"/>
          <w:szCs w:val="28"/>
          <w:highlight w:val="none"/>
        </w:rPr>
        <w:t xml:space="preserve">附法定代表人基本情况： </w:t>
      </w:r>
    </w:p>
    <w:p>
      <w:pPr>
        <w:widowControl/>
        <w:adjustRightInd w:val="0"/>
        <w:snapToGrid w:val="0"/>
        <w:spacing w:before="120" w:after="120" w:line="500" w:lineRule="exact"/>
        <w:ind w:left="1069" w:leftChars="200" w:hanging="649" w:hangingChars="232"/>
        <w:jc w:val="left"/>
        <w:rPr>
          <w:rFonts w:ascii="宋体" w:hAnsi="宋体"/>
          <w:sz w:val="28"/>
          <w:szCs w:val="28"/>
          <w:highlight w:val="none"/>
          <w:u w:val="single"/>
        </w:rPr>
      </w:pPr>
      <w:r>
        <w:rPr>
          <w:rFonts w:hint="eastAsia" w:ascii="宋体" w:hAnsi="宋体"/>
          <w:sz w:val="28"/>
          <w:szCs w:val="28"/>
          <w:highlight w:val="none"/>
        </w:rPr>
        <w:t>姓名：</w:t>
      </w:r>
    </w:p>
    <w:p>
      <w:pPr>
        <w:widowControl/>
        <w:adjustRightInd w:val="0"/>
        <w:snapToGrid w:val="0"/>
        <w:spacing w:before="120" w:after="120" w:line="500" w:lineRule="exact"/>
        <w:ind w:left="1069" w:leftChars="200" w:hanging="649" w:hangingChars="232"/>
        <w:jc w:val="left"/>
        <w:rPr>
          <w:rFonts w:ascii="宋体" w:hAnsi="宋体"/>
          <w:sz w:val="28"/>
          <w:szCs w:val="28"/>
          <w:highlight w:val="none"/>
        </w:rPr>
      </w:pPr>
      <w:r>
        <w:rPr>
          <w:rFonts w:hint="eastAsia" w:ascii="宋体" w:hAnsi="宋体"/>
          <w:sz w:val="28"/>
          <w:szCs w:val="28"/>
          <w:highlight w:val="none"/>
        </w:rPr>
        <w:t>身份证号码：</w:t>
      </w:r>
    </w:p>
    <w:p>
      <w:pPr>
        <w:widowControl/>
        <w:adjustRightInd w:val="0"/>
        <w:snapToGrid w:val="0"/>
        <w:spacing w:before="120" w:after="120" w:line="500" w:lineRule="exact"/>
        <w:ind w:left="1069" w:leftChars="200" w:hanging="649" w:hangingChars="232"/>
        <w:jc w:val="left"/>
        <w:rPr>
          <w:rFonts w:ascii="宋体" w:hAnsi="宋体"/>
          <w:sz w:val="28"/>
          <w:szCs w:val="28"/>
          <w:highlight w:val="none"/>
        </w:rPr>
      </w:pPr>
      <w:r>
        <w:rPr>
          <w:rFonts w:hint="eastAsia" w:ascii="宋体" w:hAnsi="宋体"/>
          <w:sz w:val="28"/>
          <w:szCs w:val="28"/>
          <w:highlight w:val="none"/>
        </w:rPr>
        <w:t>通讯地址：</w:t>
      </w:r>
    </w:p>
    <w:p>
      <w:pPr>
        <w:widowControl/>
        <w:adjustRightInd w:val="0"/>
        <w:snapToGrid w:val="0"/>
        <w:spacing w:before="120" w:after="120" w:line="500" w:lineRule="exact"/>
        <w:ind w:left="1069" w:leftChars="200" w:hanging="649" w:hangingChars="232"/>
        <w:jc w:val="left"/>
        <w:rPr>
          <w:rFonts w:ascii="宋体" w:hAnsi="宋体"/>
          <w:sz w:val="28"/>
          <w:szCs w:val="28"/>
          <w:highlight w:val="none"/>
        </w:rPr>
      </w:pPr>
      <w:r>
        <w:rPr>
          <w:rFonts w:hint="eastAsia" w:ascii="宋体" w:hAnsi="宋体"/>
          <w:sz w:val="28"/>
          <w:szCs w:val="28"/>
          <w:highlight w:val="none"/>
        </w:rPr>
        <w:t>电话号码：邮政编码：</w:t>
      </w:r>
    </w:p>
    <w:p>
      <w:pPr>
        <w:widowControl/>
        <w:adjustRightInd w:val="0"/>
        <w:snapToGrid w:val="0"/>
        <w:spacing w:before="120" w:after="120" w:line="500" w:lineRule="exact"/>
        <w:ind w:left="1072" w:hanging="1072"/>
        <w:rPr>
          <w:rFonts w:ascii="宋体" w:hAnsi="宋体"/>
          <w:sz w:val="28"/>
          <w:szCs w:val="28"/>
          <w:highlight w:val="none"/>
        </w:rPr>
      </w:pPr>
    </w:p>
    <w:tbl>
      <w:tblPr>
        <w:tblStyle w:val="42"/>
        <w:tblW w:w="8559"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8559"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120" w:after="120" w:line="500" w:lineRule="exact"/>
              <w:ind w:left="1072" w:hanging="1072"/>
              <w:jc w:val="center"/>
              <w:rPr>
                <w:rFonts w:ascii="宋体" w:hAnsi="宋体"/>
                <w:sz w:val="28"/>
                <w:szCs w:val="28"/>
                <w:highlight w:val="none"/>
              </w:rPr>
            </w:pPr>
          </w:p>
          <w:p>
            <w:pPr>
              <w:widowControl/>
              <w:adjustRightInd w:val="0"/>
              <w:snapToGrid w:val="0"/>
              <w:spacing w:before="120" w:after="120" w:line="500" w:lineRule="exact"/>
              <w:ind w:left="1072" w:hanging="1072"/>
              <w:jc w:val="center"/>
              <w:rPr>
                <w:rFonts w:ascii="宋体" w:hAnsi="宋体"/>
                <w:sz w:val="28"/>
                <w:szCs w:val="28"/>
                <w:highlight w:val="none"/>
              </w:rPr>
            </w:pPr>
          </w:p>
          <w:p>
            <w:pPr>
              <w:widowControl/>
              <w:adjustRightInd w:val="0"/>
              <w:snapToGrid w:val="0"/>
              <w:spacing w:before="120" w:after="120" w:line="500" w:lineRule="exact"/>
              <w:ind w:left="1072" w:hanging="1072"/>
              <w:jc w:val="center"/>
              <w:rPr>
                <w:rFonts w:ascii="宋体" w:hAnsi="宋体"/>
                <w:sz w:val="28"/>
                <w:szCs w:val="28"/>
                <w:highlight w:val="none"/>
              </w:rPr>
            </w:pPr>
            <w:r>
              <w:rPr>
                <w:rFonts w:hint="eastAsia" w:ascii="宋体" w:hAnsi="宋体"/>
                <w:sz w:val="28"/>
                <w:szCs w:val="28"/>
                <w:highlight w:val="none"/>
              </w:rPr>
              <w:t>法定代表人《居民身份证》扫描件</w:t>
            </w:r>
          </w:p>
        </w:tc>
      </w:tr>
    </w:tbl>
    <w:p>
      <w:pPr>
        <w:widowControl/>
        <w:adjustRightInd w:val="0"/>
        <w:snapToGrid w:val="0"/>
        <w:spacing w:before="120" w:after="120" w:line="500" w:lineRule="exact"/>
        <w:ind w:left="1072" w:hanging="1072"/>
        <w:rPr>
          <w:rFonts w:ascii="宋体" w:hAnsi="宋体"/>
          <w:sz w:val="28"/>
          <w:szCs w:val="28"/>
          <w:highlight w:val="none"/>
        </w:rPr>
      </w:pPr>
    </w:p>
    <w:p>
      <w:pPr>
        <w:widowControl/>
        <w:tabs>
          <w:tab w:val="left" w:pos="750"/>
        </w:tabs>
        <w:adjustRightInd w:val="0"/>
        <w:snapToGrid w:val="0"/>
        <w:spacing w:before="120" w:after="120" w:line="500" w:lineRule="exact"/>
        <w:ind w:left="1072" w:hanging="1072"/>
        <w:rPr>
          <w:rFonts w:ascii="宋体" w:hAnsi="宋体"/>
          <w:sz w:val="28"/>
          <w:szCs w:val="28"/>
          <w:highlight w:val="none"/>
        </w:rPr>
      </w:pPr>
      <w:r>
        <w:rPr>
          <w:rFonts w:hint="eastAsia" w:ascii="宋体" w:hAnsi="宋体"/>
          <w:sz w:val="28"/>
          <w:szCs w:val="28"/>
          <w:highlight w:val="none"/>
        </w:rPr>
        <w:tab/>
      </w:r>
      <w:r>
        <w:rPr>
          <w:rFonts w:hint="eastAsia" w:ascii="宋体" w:hAnsi="宋体"/>
          <w:sz w:val="28"/>
          <w:szCs w:val="28"/>
          <w:highlight w:val="none"/>
        </w:rPr>
        <w:t>投标人名称（签章）：</w:t>
      </w:r>
    </w:p>
    <w:p>
      <w:pPr>
        <w:widowControl/>
        <w:tabs>
          <w:tab w:val="left" w:pos="750"/>
        </w:tabs>
        <w:adjustRightInd w:val="0"/>
        <w:snapToGrid w:val="0"/>
        <w:spacing w:before="120" w:after="120" w:line="500" w:lineRule="exact"/>
        <w:ind w:left="1069" w:leftChars="400" w:hanging="229" w:hangingChars="82"/>
        <w:rPr>
          <w:rFonts w:ascii="宋体" w:hAnsi="宋体"/>
          <w:sz w:val="28"/>
          <w:szCs w:val="28"/>
          <w:highlight w:val="none"/>
        </w:rPr>
      </w:pPr>
      <w:r>
        <w:rPr>
          <w:rFonts w:hint="eastAsia" w:ascii="宋体" w:hAnsi="宋体"/>
          <w:sz w:val="28"/>
          <w:szCs w:val="28"/>
          <w:highlight w:val="none"/>
        </w:rPr>
        <w:t>法定代表人（签章） ：</w:t>
      </w:r>
    </w:p>
    <w:p>
      <w:pPr>
        <w:widowControl/>
        <w:tabs>
          <w:tab w:val="left" w:pos="750"/>
        </w:tabs>
        <w:adjustRightInd w:val="0"/>
        <w:snapToGrid w:val="0"/>
        <w:spacing w:before="120" w:after="120" w:line="500" w:lineRule="exact"/>
        <w:ind w:left="1069" w:leftChars="400" w:hanging="229" w:hangingChars="82"/>
        <w:rPr>
          <w:rFonts w:ascii="宋体" w:hAnsi="宋体"/>
          <w:sz w:val="28"/>
          <w:szCs w:val="28"/>
          <w:highlight w:val="none"/>
        </w:rPr>
      </w:pPr>
      <w:r>
        <w:rPr>
          <w:rFonts w:hint="eastAsia" w:ascii="宋体" w:hAnsi="宋体"/>
          <w:sz w:val="28"/>
          <w:szCs w:val="28"/>
          <w:highlight w:val="none"/>
        </w:rPr>
        <w:t>日期：年月日</w:t>
      </w:r>
    </w:p>
    <w:p>
      <w:pPr>
        <w:widowControl/>
        <w:adjustRightInd w:val="0"/>
        <w:snapToGrid w:val="0"/>
        <w:spacing w:before="120" w:after="120" w:line="500" w:lineRule="exact"/>
        <w:ind w:left="1072" w:hanging="1072"/>
        <w:jc w:val="center"/>
        <w:rPr>
          <w:b/>
          <w:sz w:val="28"/>
          <w:szCs w:val="28"/>
          <w:highlight w:val="none"/>
        </w:rPr>
      </w:pPr>
    </w:p>
    <w:p>
      <w:pPr>
        <w:pStyle w:val="2"/>
        <w:rPr>
          <w:highlight w:val="none"/>
        </w:rPr>
      </w:pPr>
    </w:p>
    <w:p>
      <w:pPr>
        <w:pStyle w:val="2"/>
        <w:rPr>
          <w:highlight w:val="none"/>
        </w:rPr>
      </w:pPr>
    </w:p>
    <w:p>
      <w:pPr>
        <w:pStyle w:val="2"/>
        <w:rPr>
          <w:highlight w:val="none"/>
        </w:rPr>
      </w:pPr>
    </w:p>
    <w:p>
      <w:pPr>
        <w:widowControl/>
        <w:adjustRightInd w:val="0"/>
        <w:snapToGrid w:val="0"/>
        <w:spacing w:before="120" w:after="120" w:line="500" w:lineRule="exact"/>
        <w:ind w:left="1072" w:hanging="1072"/>
        <w:jc w:val="center"/>
        <w:rPr>
          <w:b/>
          <w:sz w:val="28"/>
          <w:szCs w:val="28"/>
          <w:highlight w:val="none"/>
        </w:rPr>
      </w:pPr>
    </w:p>
    <w:p>
      <w:pPr>
        <w:autoSpaceDE w:val="0"/>
        <w:autoSpaceDN w:val="0"/>
        <w:adjustRightInd w:val="0"/>
        <w:spacing w:line="500" w:lineRule="exact"/>
        <w:jc w:val="center"/>
        <w:outlineLvl w:val="2"/>
        <w:rPr>
          <w:rFonts w:ascii="宋体" w:hAnsi="宋体"/>
          <w:b/>
          <w:sz w:val="28"/>
          <w:szCs w:val="28"/>
          <w:highlight w:val="none"/>
        </w:rPr>
      </w:pPr>
      <w:r>
        <w:rPr>
          <w:rFonts w:hint="eastAsia" w:ascii="宋体" w:hAnsi="宋体"/>
          <w:b/>
          <w:sz w:val="28"/>
          <w:szCs w:val="28"/>
          <w:highlight w:val="none"/>
        </w:rPr>
        <w:t>3、委托授权书</w:t>
      </w:r>
    </w:p>
    <w:p>
      <w:pPr>
        <w:widowControl/>
        <w:spacing w:before="120" w:after="120" w:line="500" w:lineRule="exact"/>
        <w:ind w:left="1072" w:hanging="1072"/>
        <w:rPr>
          <w:rFonts w:ascii="宋体" w:hAnsi="宋体"/>
          <w:sz w:val="28"/>
          <w:szCs w:val="28"/>
          <w:highlight w:val="none"/>
        </w:rPr>
      </w:pPr>
      <w:r>
        <w:rPr>
          <w:rFonts w:hint="eastAsia" w:ascii="宋体" w:hAnsi="宋体"/>
          <w:sz w:val="28"/>
          <w:szCs w:val="28"/>
          <w:highlight w:val="none"/>
          <w:u w:val="single"/>
        </w:rPr>
        <w:t>（代理机构名称）</w:t>
      </w:r>
      <w:r>
        <w:rPr>
          <w:rFonts w:hint="eastAsia" w:ascii="宋体" w:hAnsi="宋体"/>
          <w:sz w:val="28"/>
          <w:szCs w:val="28"/>
          <w:highlight w:val="none"/>
        </w:rPr>
        <w:t>：</w:t>
      </w:r>
    </w:p>
    <w:p>
      <w:pPr>
        <w:widowControl/>
        <w:spacing w:before="120" w:after="120" w:line="500" w:lineRule="exact"/>
        <w:ind w:firstLine="560" w:firstLineChars="200"/>
        <w:rPr>
          <w:rFonts w:ascii="宋体" w:hAnsi="宋体"/>
          <w:sz w:val="28"/>
          <w:szCs w:val="28"/>
          <w:highlight w:val="none"/>
        </w:rPr>
      </w:pPr>
      <w:r>
        <w:rPr>
          <w:rFonts w:hint="eastAsia" w:ascii="宋体" w:hAnsi="宋体"/>
          <w:sz w:val="28"/>
          <w:szCs w:val="28"/>
          <w:highlight w:val="none"/>
        </w:rPr>
        <w:t>兹授权同志为我单位参加贵单位组织的编号为</w:t>
      </w:r>
      <w:r>
        <w:rPr>
          <w:rFonts w:hint="eastAsia" w:ascii="宋体" w:hAnsi="宋体"/>
          <w:sz w:val="28"/>
          <w:szCs w:val="28"/>
          <w:highlight w:val="none"/>
          <w:u w:val="single"/>
        </w:rPr>
        <w:t>（项目编号）</w:t>
      </w:r>
      <w:r>
        <w:rPr>
          <w:rFonts w:hint="eastAsia" w:ascii="宋体" w:hAnsi="宋体"/>
          <w:sz w:val="28"/>
          <w:szCs w:val="28"/>
          <w:highlight w:val="none"/>
        </w:rPr>
        <w:t>的</w:t>
      </w:r>
      <w:r>
        <w:rPr>
          <w:rFonts w:hint="eastAsia" w:ascii="宋体" w:hAnsi="宋体"/>
          <w:sz w:val="28"/>
          <w:szCs w:val="28"/>
          <w:highlight w:val="none"/>
          <w:u w:val="single"/>
        </w:rPr>
        <w:t>（项 目 名 称）</w:t>
      </w:r>
      <w:r>
        <w:rPr>
          <w:rFonts w:hint="eastAsia" w:ascii="宋体" w:hAnsi="宋体"/>
          <w:sz w:val="28"/>
          <w:szCs w:val="28"/>
          <w:highlight w:val="none"/>
        </w:rPr>
        <w:t xml:space="preserve">采购活动的代表人，全权代表我单位处理在该项目采购活动中的一切事宜。代理期限从年月日起至年月日止。 </w:t>
      </w:r>
    </w:p>
    <w:p>
      <w:pPr>
        <w:widowControl/>
        <w:spacing w:before="120" w:after="120" w:line="500" w:lineRule="exact"/>
        <w:ind w:left="1072" w:hanging="1072"/>
        <w:rPr>
          <w:rFonts w:ascii="宋体" w:hAnsi="宋体"/>
          <w:sz w:val="28"/>
          <w:szCs w:val="28"/>
          <w:highlight w:val="none"/>
        </w:rPr>
      </w:pPr>
      <w:r>
        <w:rPr>
          <w:rFonts w:hint="eastAsia" w:ascii="宋体" w:hAnsi="宋体"/>
          <w:sz w:val="28"/>
          <w:szCs w:val="28"/>
          <w:highlight w:val="none"/>
        </w:rPr>
        <w:t>投标人名称（签章）：</w:t>
      </w:r>
    </w:p>
    <w:p>
      <w:pPr>
        <w:widowControl/>
        <w:spacing w:before="120" w:after="120" w:line="500" w:lineRule="exact"/>
        <w:ind w:left="1072" w:hanging="1072"/>
        <w:rPr>
          <w:rFonts w:ascii="宋体" w:hAnsi="宋体"/>
          <w:sz w:val="28"/>
          <w:szCs w:val="28"/>
          <w:highlight w:val="none"/>
        </w:rPr>
      </w:pPr>
      <w:r>
        <w:rPr>
          <w:rFonts w:hint="eastAsia" w:ascii="宋体" w:hAnsi="宋体"/>
          <w:sz w:val="28"/>
          <w:szCs w:val="28"/>
          <w:highlight w:val="none"/>
        </w:rPr>
        <w:t>签发日期：年月日</w:t>
      </w:r>
    </w:p>
    <w:p>
      <w:pPr>
        <w:widowControl/>
        <w:spacing w:before="120" w:after="120" w:line="500" w:lineRule="exact"/>
        <w:ind w:left="1072" w:hanging="1072"/>
        <w:rPr>
          <w:rFonts w:ascii="宋体" w:hAnsi="宋体"/>
          <w:sz w:val="28"/>
          <w:szCs w:val="28"/>
          <w:highlight w:val="none"/>
        </w:rPr>
      </w:pPr>
      <w:r>
        <w:rPr>
          <w:rFonts w:hint="eastAsia" w:ascii="宋体" w:hAnsi="宋体"/>
          <w:sz w:val="28"/>
          <w:szCs w:val="28"/>
          <w:highlight w:val="none"/>
        </w:rPr>
        <w:t>附：</w:t>
      </w:r>
    </w:p>
    <w:p>
      <w:pPr>
        <w:widowControl/>
        <w:spacing w:before="120" w:after="120" w:line="500" w:lineRule="exact"/>
        <w:ind w:left="1072" w:hanging="1072"/>
        <w:rPr>
          <w:rFonts w:ascii="宋体" w:hAnsi="宋体"/>
          <w:sz w:val="28"/>
          <w:szCs w:val="28"/>
          <w:highlight w:val="none"/>
        </w:rPr>
      </w:pPr>
      <w:r>
        <w:rPr>
          <w:rFonts w:hint="eastAsia" w:ascii="宋体" w:hAnsi="宋体"/>
          <w:sz w:val="28"/>
          <w:szCs w:val="28"/>
          <w:highlight w:val="none"/>
        </w:rPr>
        <w:t>代理人工作单位：</w:t>
      </w:r>
    </w:p>
    <w:p>
      <w:pPr>
        <w:widowControl/>
        <w:spacing w:before="120" w:after="120" w:line="500" w:lineRule="exact"/>
        <w:ind w:left="1072" w:hanging="1072"/>
        <w:rPr>
          <w:rFonts w:ascii="宋体" w:hAnsi="宋体"/>
          <w:sz w:val="28"/>
          <w:szCs w:val="28"/>
          <w:highlight w:val="none"/>
          <w:u w:val="single"/>
        </w:rPr>
      </w:pPr>
      <w:r>
        <w:rPr>
          <w:rFonts w:hint="eastAsia" w:ascii="宋体" w:hAnsi="宋体"/>
          <w:sz w:val="28"/>
          <w:szCs w:val="28"/>
          <w:highlight w:val="none"/>
        </w:rPr>
        <w:t>联系电话（手机）：</w:t>
      </w:r>
    </w:p>
    <w:p>
      <w:pPr>
        <w:widowControl/>
        <w:adjustRightInd w:val="0"/>
        <w:snapToGrid w:val="0"/>
        <w:spacing w:before="120" w:after="120" w:line="500" w:lineRule="exact"/>
        <w:ind w:left="1072" w:hanging="1072"/>
        <w:rPr>
          <w:rFonts w:ascii="宋体" w:hAnsi="宋体"/>
          <w:sz w:val="28"/>
          <w:szCs w:val="28"/>
          <w:highlight w:val="none"/>
          <w:u w:val="single"/>
        </w:rPr>
      </w:pPr>
      <w:r>
        <w:rPr>
          <w:rFonts w:hint="eastAsia" w:ascii="宋体" w:hAnsi="宋体"/>
          <w:sz w:val="28"/>
          <w:szCs w:val="28"/>
          <w:highlight w:val="none"/>
        </w:rPr>
        <w:t>身份证号码：</w:t>
      </w:r>
    </w:p>
    <w:p>
      <w:pPr>
        <w:widowControl/>
        <w:adjustRightInd w:val="0"/>
        <w:snapToGrid w:val="0"/>
        <w:spacing w:before="120" w:after="120" w:line="500" w:lineRule="exact"/>
        <w:ind w:left="-88" w:leftChars="-42" w:firstLine="700" w:firstLineChars="250"/>
        <w:rPr>
          <w:rFonts w:ascii="宋体" w:hAnsi="宋体"/>
          <w:sz w:val="28"/>
          <w:szCs w:val="28"/>
          <w:highlight w:val="none"/>
          <w:u w:val="single"/>
        </w:rPr>
      </w:pPr>
    </w:p>
    <w:tbl>
      <w:tblPr>
        <w:tblStyle w:val="42"/>
        <w:tblW w:w="870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708" w:type="dxa"/>
            <w:tcBorders>
              <w:top w:val="single" w:color="auto" w:sz="4" w:space="0"/>
              <w:left w:val="single" w:color="auto" w:sz="4" w:space="0"/>
              <w:bottom w:val="single" w:color="auto" w:sz="4" w:space="0"/>
              <w:right w:val="single" w:color="auto" w:sz="4" w:space="0"/>
            </w:tcBorders>
          </w:tcPr>
          <w:p>
            <w:pPr>
              <w:widowControl/>
              <w:spacing w:before="120" w:after="120" w:line="500" w:lineRule="exact"/>
              <w:ind w:left="1072" w:hanging="1072"/>
              <w:rPr>
                <w:rFonts w:ascii="宋体" w:hAnsi="宋体"/>
                <w:sz w:val="28"/>
                <w:szCs w:val="28"/>
                <w:highlight w:val="none"/>
              </w:rPr>
            </w:pPr>
            <w:r>
              <w:rPr>
                <w:rFonts w:hint="eastAsia" w:ascii="宋体" w:hAnsi="宋体"/>
                <w:sz w:val="28"/>
                <w:szCs w:val="28"/>
                <w:highlight w:val="none"/>
              </w:rPr>
              <w:t>粘贴被授权人身份证（扫描件）</w:t>
            </w:r>
          </w:p>
        </w:tc>
      </w:tr>
    </w:tbl>
    <w:p>
      <w:pPr>
        <w:widowControl/>
        <w:autoSpaceDE w:val="0"/>
        <w:autoSpaceDN w:val="0"/>
        <w:spacing w:before="120" w:after="120" w:line="500" w:lineRule="exact"/>
        <w:rPr>
          <w:rFonts w:ascii="宋体" w:hAnsi="宋体"/>
          <w:sz w:val="28"/>
          <w:szCs w:val="28"/>
          <w:highlight w:val="none"/>
        </w:rPr>
      </w:pPr>
    </w:p>
    <w:p>
      <w:pPr>
        <w:widowControl/>
        <w:spacing w:before="120" w:after="120" w:line="500" w:lineRule="exact"/>
        <w:ind w:left="1072" w:hanging="1072"/>
        <w:jc w:val="center"/>
        <w:rPr>
          <w:rFonts w:ascii="宋体" w:hAnsi="宋体"/>
          <w:b/>
          <w:bCs/>
          <w:kern w:val="0"/>
          <w:sz w:val="28"/>
          <w:szCs w:val="28"/>
          <w:highlight w:val="none"/>
        </w:rPr>
      </w:pPr>
    </w:p>
    <w:p>
      <w:pPr>
        <w:pStyle w:val="211"/>
        <w:spacing w:line="460" w:lineRule="exact"/>
        <w:ind w:left="731" w:hanging="731"/>
        <w:jc w:val="center"/>
        <w:outlineLvl w:val="1"/>
        <w:rPr>
          <w:rFonts w:ascii="宋体" w:hAnsi="宋体"/>
          <w:b/>
          <w:bCs/>
          <w:sz w:val="28"/>
          <w:szCs w:val="32"/>
          <w:highlight w:val="none"/>
        </w:rPr>
      </w:pPr>
    </w:p>
    <w:p>
      <w:pPr>
        <w:pStyle w:val="211"/>
        <w:spacing w:line="460" w:lineRule="exact"/>
        <w:ind w:left="731" w:hanging="731"/>
        <w:jc w:val="center"/>
        <w:outlineLvl w:val="1"/>
        <w:rPr>
          <w:rFonts w:ascii="宋体" w:hAnsi="宋体"/>
          <w:b/>
          <w:bCs/>
          <w:sz w:val="28"/>
          <w:szCs w:val="32"/>
          <w:highlight w:val="none"/>
        </w:rPr>
      </w:pPr>
    </w:p>
    <w:p>
      <w:pPr>
        <w:pStyle w:val="211"/>
        <w:spacing w:line="460" w:lineRule="exact"/>
        <w:ind w:left="731" w:hanging="731"/>
        <w:jc w:val="center"/>
        <w:outlineLvl w:val="1"/>
        <w:rPr>
          <w:rFonts w:ascii="宋体" w:hAnsi="宋体"/>
          <w:b/>
          <w:bCs/>
          <w:sz w:val="28"/>
          <w:szCs w:val="32"/>
          <w:highlight w:val="none"/>
        </w:rPr>
      </w:pPr>
    </w:p>
    <w:p>
      <w:pPr>
        <w:pStyle w:val="211"/>
        <w:spacing w:line="360" w:lineRule="auto"/>
        <w:jc w:val="center"/>
        <w:outlineLvl w:val="1"/>
        <w:rPr>
          <w:rFonts w:ascii="宋体" w:hAnsi="宋体"/>
          <w:b/>
          <w:sz w:val="28"/>
          <w:szCs w:val="32"/>
          <w:highlight w:val="none"/>
        </w:rPr>
      </w:pPr>
      <w:bookmarkStart w:id="432" w:name="_Toc8255"/>
      <w:r>
        <w:rPr>
          <w:rFonts w:hint="eastAsia" w:ascii="宋体" w:hAnsi="宋体"/>
          <w:b/>
          <w:bCs/>
          <w:sz w:val="28"/>
          <w:szCs w:val="32"/>
          <w:highlight w:val="none"/>
        </w:rPr>
        <w:t>4、</w:t>
      </w:r>
      <w:r>
        <w:rPr>
          <w:rFonts w:hint="eastAsia" w:ascii="宋体" w:hAnsi="宋体"/>
          <w:b/>
          <w:sz w:val="28"/>
          <w:szCs w:val="32"/>
          <w:highlight w:val="none"/>
        </w:rPr>
        <w:t>技术评审响应偏离说明表</w:t>
      </w:r>
      <w:bookmarkEnd w:id="432"/>
    </w:p>
    <w:p>
      <w:pPr>
        <w:pStyle w:val="211"/>
        <w:spacing w:line="700" w:lineRule="exact"/>
        <w:rPr>
          <w:rFonts w:ascii="宋体" w:hAnsi="宋体"/>
          <w:spacing w:val="-4"/>
          <w:sz w:val="24"/>
          <w:szCs w:val="28"/>
          <w:highlight w:val="none"/>
        </w:rPr>
      </w:pPr>
      <w:r>
        <w:rPr>
          <w:rFonts w:hint="eastAsia" w:ascii="宋体" w:hAnsi="宋体"/>
          <w:sz w:val="24"/>
          <w:szCs w:val="28"/>
          <w:highlight w:val="none"/>
        </w:rPr>
        <w:t>项目名称：</w:t>
      </w:r>
    </w:p>
    <w:p>
      <w:pPr>
        <w:pStyle w:val="211"/>
        <w:spacing w:line="360" w:lineRule="auto"/>
        <w:rPr>
          <w:rFonts w:ascii="宋体" w:hAnsi="宋体"/>
          <w:bCs/>
          <w:sz w:val="24"/>
          <w:szCs w:val="28"/>
          <w:highlight w:val="none"/>
          <w:u w:val="single"/>
        </w:rPr>
      </w:pPr>
    </w:p>
    <w:tbl>
      <w:tblPr>
        <w:tblStyle w:val="42"/>
        <w:tblW w:w="892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405"/>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r>
              <w:rPr>
                <w:rFonts w:hint="eastAsia" w:ascii="宋体" w:hAnsi="宋体"/>
                <w:bCs/>
                <w:sz w:val="24"/>
                <w:szCs w:val="28"/>
                <w:highlight w:val="none"/>
              </w:rPr>
              <w:t>序号</w:t>
            </w:r>
          </w:p>
        </w:tc>
        <w:tc>
          <w:tcPr>
            <w:tcW w:w="3405" w:type="dxa"/>
            <w:vAlign w:val="center"/>
          </w:tcPr>
          <w:p>
            <w:pPr>
              <w:pStyle w:val="211"/>
              <w:spacing w:line="360" w:lineRule="exact"/>
              <w:jc w:val="center"/>
              <w:rPr>
                <w:rFonts w:ascii="宋体" w:hAnsi="宋体"/>
                <w:bCs/>
                <w:sz w:val="24"/>
                <w:szCs w:val="28"/>
                <w:highlight w:val="none"/>
              </w:rPr>
            </w:pPr>
            <w:r>
              <w:rPr>
                <w:rFonts w:hint="eastAsia" w:ascii="宋体" w:hAnsi="宋体"/>
                <w:bCs/>
                <w:sz w:val="24"/>
                <w:szCs w:val="28"/>
                <w:highlight w:val="none"/>
              </w:rPr>
              <w:t>招标文件要求部分</w:t>
            </w:r>
          </w:p>
        </w:tc>
        <w:tc>
          <w:tcPr>
            <w:tcW w:w="2520" w:type="dxa"/>
            <w:vAlign w:val="center"/>
          </w:tcPr>
          <w:p>
            <w:pPr>
              <w:pStyle w:val="211"/>
              <w:spacing w:line="360" w:lineRule="exact"/>
              <w:jc w:val="center"/>
              <w:rPr>
                <w:rFonts w:ascii="宋体" w:hAnsi="宋体"/>
                <w:bCs/>
                <w:sz w:val="24"/>
                <w:szCs w:val="28"/>
                <w:highlight w:val="none"/>
              </w:rPr>
            </w:pPr>
            <w:r>
              <w:rPr>
                <w:rFonts w:hint="eastAsia" w:ascii="宋体" w:hAnsi="宋体"/>
                <w:bCs/>
                <w:sz w:val="24"/>
                <w:szCs w:val="28"/>
                <w:highlight w:val="none"/>
              </w:rPr>
              <w:t>投标文件响应部分</w:t>
            </w:r>
          </w:p>
        </w:tc>
        <w:tc>
          <w:tcPr>
            <w:tcW w:w="2160" w:type="dxa"/>
            <w:vAlign w:val="center"/>
          </w:tcPr>
          <w:p>
            <w:pPr>
              <w:pStyle w:val="211"/>
              <w:spacing w:line="360" w:lineRule="auto"/>
              <w:jc w:val="center"/>
              <w:rPr>
                <w:rFonts w:ascii="宋体" w:hAnsi="宋体"/>
                <w:bCs/>
                <w:sz w:val="24"/>
                <w:szCs w:val="28"/>
                <w:highlight w:val="none"/>
              </w:rPr>
            </w:pPr>
            <w:r>
              <w:rPr>
                <w:rFonts w:hint="eastAsia" w:ascii="宋体" w:hAnsi="宋体"/>
                <w:bCs/>
                <w:sz w:val="24"/>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bl>
    <w:p>
      <w:pPr>
        <w:pStyle w:val="211"/>
        <w:spacing w:line="400" w:lineRule="exact"/>
        <w:rPr>
          <w:rFonts w:ascii="宋体" w:hAnsi="宋体"/>
          <w:sz w:val="24"/>
          <w:szCs w:val="28"/>
          <w:highlight w:val="none"/>
        </w:rPr>
      </w:pPr>
    </w:p>
    <w:p>
      <w:pPr>
        <w:pStyle w:val="211"/>
        <w:tabs>
          <w:tab w:val="left" w:pos="540"/>
        </w:tabs>
        <w:spacing w:line="440" w:lineRule="exact"/>
        <w:jc w:val="left"/>
        <w:rPr>
          <w:rFonts w:ascii="宋体" w:hAnsi="宋体"/>
          <w:sz w:val="24"/>
          <w:szCs w:val="28"/>
          <w:highlight w:val="none"/>
        </w:rPr>
      </w:pPr>
      <w:r>
        <w:rPr>
          <w:rFonts w:hint="eastAsia" w:ascii="宋体" w:hAnsi="宋体"/>
          <w:sz w:val="24"/>
          <w:szCs w:val="28"/>
          <w:highlight w:val="none"/>
        </w:rPr>
        <w:t>投标人法定代表人（签章） ：</w:t>
      </w:r>
    </w:p>
    <w:p>
      <w:pPr>
        <w:pStyle w:val="211"/>
        <w:tabs>
          <w:tab w:val="left" w:pos="540"/>
        </w:tabs>
        <w:spacing w:line="440" w:lineRule="exact"/>
        <w:jc w:val="left"/>
        <w:rPr>
          <w:rFonts w:ascii="宋体" w:hAnsi="宋体"/>
          <w:sz w:val="24"/>
          <w:szCs w:val="28"/>
          <w:highlight w:val="none"/>
        </w:rPr>
      </w:pPr>
      <w:r>
        <w:rPr>
          <w:rFonts w:hint="eastAsia" w:ascii="宋体" w:hAnsi="宋体"/>
          <w:sz w:val="24"/>
          <w:szCs w:val="28"/>
          <w:highlight w:val="none"/>
        </w:rPr>
        <w:t>投标人名称（签章） ：</w:t>
      </w:r>
    </w:p>
    <w:p>
      <w:pPr>
        <w:pStyle w:val="211"/>
        <w:tabs>
          <w:tab w:val="left" w:pos="540"/>
        </w:tabs>
        <w:spacing w:line="440" w:lineRule="exact"/>
        <w:jc w:val="left"/>
        <w:rPr>
          <w:rFonts w:ascii="宋体" w:hAnsi="宋体"/>
          <w:sz w:val="24"/>
          <w:szCs w:val="28"/>
          <w:highlight w:val="none"/>
        </w:rPr>
      </w:pPr>
      <w:r>
        <w:rPr>
          <w:rFonts w:hint="eastAsia" w:ascii="宋体" w:hAnsi="宋体"/>
          <w:sz w:val="24"/>
          <w:szCs w:val="28"/>
          <w:highlight w:val="none"/>
        </w:rPr>
        <w:t xml:space="preserve">日期：   年  月    日 </w:t>
      </w:r>
    </w:p>
    <w:p>
      <w:pPr>
        <w:pStyle w:val="211"/>
        <w:spacing w:line="500" w:lineRule="exact"/>
        <w:jc w:val="center"/>
        <w:rPr>
          <w:rFonts w:ascii="宋体" w:hAnsi="宋体"/>
          <w:b/>
          <w:bCs/>
          <w:sz w:val="28"/>
          <w:szCs w:val="32"/>
          <w:highlight w:val="none"/>
        </w:rPr>
      </w:pPr>
    </w:p>
    <w:p>
      <w:pPr>
        <w:pStyle w:val="211"/>
        <w:spacing w:line="500" w:lineRule="exact"/>
        <w:jc w:val="center"/>
        <w:rPr>
          <w:rFonts w:ascii="宋体" w:hAnsi="宋体"/>
          <w:b/>
          <w:bCs/>
          <w:sz w:val="28"/>
          <w:szCs w:val="32"/>
          <w:highlight w:val="none"/>
        </w:rPr>
      </w:pPr>
    </w:p>
    <w:p>
      <w:pPr>
        <w:pStyle w:val="211"/>
        <w:spacing w:line="500" w:lineRule="exact"/>
        <w:jc w:val="center"/>
        <w:rPr>
          <w:rFonts w:ascii="宋体" w:hAnsi="宋体"/>
          <w:b/>
          <w:bCs/>
          <w:sz w:val="28"/>
          <w:szCs w:val="32"/>
          <w:highlight w:val="none"/>
        </w:rPr>
      </w:pPr>
    </w:p>
    <w:p>
      <w:pPr>
        <w:pStyle w:val="211"/>
        <w:spacing w:line="500" w:lineRule="exact"/>
        <w:jc w:val="center"/>
        <w:rPr>
          <w:rFonts w:ascii="宋体" w:hAnsi="宋体"/>
          <w:b/>
          <w:bCs/>
          <w:sz w:val="28"/>
          <w:szCs w:val="32"/>
          <w:highlight w:val="none"/>
        </w:rPr>
      </w:pPr>
    </w:p>
    <w:p>
      <w:pPr>
        <w:pStyle w:val="211"/>
        <w:spacing w:line="500" w:lineRule="exact"/>
        <w:jc w:val="center"/>
        <w:rPr>
          <w:rFonts w:ascii="宋体" w:hAnsi="宋体"/>
          <w:b/>
          <w:bCs/>
          <w:sz w:val="28"/>
          <w:szCs w:val="32"/>
          <w:highlight w:val="none"/>
        </w:rPr>
      </w:pPr>
    </w:p>
    <w:p>
      <w:pPr>
        <w:pStyle w:val="211"/>
        <w:spacing w:line="500" w:lineRule="exact"/>
        <w:jc w:val="center"/>
        <w:rPr>
          <w:rFonts w:ascii="宋体" w:hAnsi="宋体"/>
          <w:b/>
          <w:bCs/>
          <w:sz w:val="28"/>
          <w:szCs w:val="32"/>
          <w:highlight w:val="none"/>
        </w:rPr>
      </w:pPr>
    </w:p>
    <w:p>
      <w:pPr>
        <w:pStyle w:val="211"/>
        <w:spacing w:line="500" w:lineRule="exact"/>
        <w:jc w:val="center"/>
        <w:rPr>
          <w:rFonts w:ascii="宋体" w:hAnsi="宋体"/>
          <w:b/>
          <w:bCs/>
          <w:sz w:val="28"/>
          <w:szCs w:val="32"/>
          <w:highlight w:val="none"/>
        </w:rPr>
      </w:pPr>
    </w:p>
    <w:p>
      <w:pPr>
        <w:pStyle w:val="211"/>
        <w:spacing w:line="500" w:lineRule="exact"/>
        <w:jc w:val="center"/>
        <w:outlineLvl w:val="1"/>
        <w:rPr>
          <w:rFonts w:ascii="宋体" w:hAnsi="宋体"/>
          <w:b/>
          <w:sz w:val="28"/>
          <w:szCs w:val="32"/>
          <w:highlight w:val="none"/>
        </w:rPr>
      </w:pPr>
      <w:bookmarkStart w:id="433" w:name="_Toc28391"/>
      <w:r>
        <w:rPr>
          <w:rFonts w:hint="eastAsia" w:ascii="宋体" w:hAnsi="宋体"/>
          <w:b/>
          <w:bCs/>
          <w:sz w:val="28"/>
          <w:szCs w:val="32"/>
          <w:highlight w:val="none"/>
        </w:rPr>
        <w:t>5、</w:t>
      </w:r>
      <w:r>
        <w:rPr>
          <w:rFonts w:hint="eastAsia" w:ascii="宋体" w:hAnsi="宋体"/>
          <w:b/>
          <w:sz w:val="28"/>
          <w:szCs w:val="32"/>
          <w:highlight w:val="none"/>
        </w:rPr>
        <w:t>商务评审响应偏离说明表</w:t>
      </w:r>
      <w:bookmarkEnd w:id="433"/>
    </w:p>
    <w:p>
      <w:pPr>
        <w:pStyle w:val="211"/>
        <w:spacing w:line="700" w:lineRule="exact"/>
        <w:ind w:firstLine="240" w:firstLineChars="100"/>
        <w:rPr>
          <w:rFonts w:ascii="宋体" w:hAnsi="宋体"/>
          <w:spacing w:val="-4"/>
          <w:sz w:val="24"/>
          <w:szCs w:val="28"/>
          <w:highlight w:val="none"/>
        </w:rPr>
      </w:pPr>
      <w:r>
        <w:rPr>
          <w:rFonts w:hint="eastAsia" w:ascii="宋体" w:hAnsi="宋体"/>
          <w:sz w:val="24"/>
          <w:szCs w:val="28"/>
          <w:highlight w:val="none"/>
        </w:rPr>
        <w:t>项目名称：</w:t>
      </w:r>
    </w:p>
    <w:tbl>
      <w:tblPr>
        <w:tblStyle w:val="42"/>
        <w:tblpPr w:leftFromText="180" w:rightFromText="180" w:vertAnchor="text" w:horzAnchor="page" w:tblpX="1440" w:tblpY="53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405"/>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r>
              <w:rPr>
                <w:rFonts w:hint="eastAsia" w:ascii="宋体" w:hAnsi="宋体"/>
                <w:bCs/>
                <w:sz w:val="24"/>
                <w:szCs w:val="28"/>
                <w:highlight w:val="none"/>
              </w:rPr>
              <w:t>序号</w:t>
            </w:r>
          </w:p>
        </w:tc>
        <w:tc>
          <w:tcPr>
            <w:tcW w:w="3405" w:type="dxa"/>
            <w:vAlign w:val="center"/>
          </w:tcPr>
          <w:p>
            <w:pPr>
              <w:pStyle w:val="211"/>
              <w:spacing w:line="360" w:lineRule="exact"/>
              <w:jc w:val="center"/>
              <w:rPr>
                <w:rFonts w:ascii="宋体" w:hAnsi="宋体"/>
                <w:bCs/>
                <w:sz w:val="24"/>
                <w:szCs w:val="28"/>
                <w:highlight w:val="none"/>
              </w:rPr>
            </w:pPr>
            <w:r>
              <w:rPr>
                <w:rFonts w:hint="eastAsia" w:ascii="宋体" w:hAnsi="宋体"/>
                <w:bCs/>
                <w:sz w:val="24"/>
                <w:szCs w:val="28"/>
                <w:highlight w:val="none"/>
              </w:rPr>
              <w:t>招标文件要求部分</w:t>
            </w:r>
          </w:p>
        </w:tc>
        <w:tc>
          <w:tcPr>
            <w:tcW w:w="2520" w:type="dxa"/>
            <w:vAlign w:val="center"/>
          </w:tcPr>
          <w:p>
            <w:pPr>
              <w:pStyle w:val="211"/>
              <w:spacing w:line="360" w:lineRule="exact"/>
              <w:jc w:val="center"/>
              <w:rPr>
                <w:rFonts w:ascii="宋体" w:hAnsi="宋体"/>
                <w:bCs/>
                <w:sz w:val="24"/>
                <w:szCs w:val="28"/>
                <w:highlight w:val="none"/>
              </w:rPr>
            </w:pPr>
            <w:r>
              <w:rPr>
                <w:rFonts w:hint="eastAsia" w:ascii="宋体" w:hAnsi="宋体"/>
                <w:bCs/>
                <w:sz w:val="24"/>
                <w:szCs w:val="28"/>
                <w:highlight w:val="none"/>
              </w:rPr>
              <w:t>投标文件响应部分对照页码</w:t>
            </w:r>
          </w:p>
        </w:tc>
        <w:tc>
          <w:tcPr>
            <w:tcW w:w="2160" w:type="dxa"/>
            <w:vAlign w:val="center"/>
          </w:tcPr>
          <w:p>
            <w:pPr>
              <w:pStyle w:val="211"/>
              <w:spacing w:line="360" w:lineRule="auto"/>
              <w:jc w:val="center"/>
              <w:rPr>
                <w:rFonts w:ascii="宋体" w:hAnsi="宋体"/>
                <w:bCs/>
                <w:sz w:val="24"/>
                <w:szCs w:val="28"/>
                <w:highlight w:val="none"/>
              </w:rPr>
            </w:pPr>
            <w:r>
              <w:rPr>
                <w:rFonts w:hint="eastAsia" w:ascii="宋体" w:hAnsi="宋体"/>
                <w:bCs/>
                <w:sz w:val="24"/>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11"/>
              <w:spacing w:line="360" w:lineRule="auto"/>
              <w:jc w:val="center"/>
              <w:rPr>
                <w:rFonts w:ascii="宋体" w:hAnsi="宋体"/>
                <w:bCs/>
                <w:sz w:val="24"/>
                <w:szCs w:val="28"/>
                <w:highlight w:val="none"/>
              </w:rPr>
            </w:pPr>
          </w:p>
        </w:tc>
        <w:tc>
          <w:tcPr>
            <w:tcW w:w="3405" w:type="dxa"/>
            <w:vAlign w:val="center"/>
          </w:tcPr>
          <w:p>
            <w:pPr>
              <w:pStyle w:val="211"/>
              <w:spacing w:line="360" w:lineRule="auto"/>
              <w:jc w:val="center"/>
              <w:rPr>
                <w:rFonts w:ascii="宋体" w:hAnsi="宋体"/>
                <w:bCs/>
                <w:sz w:val="24"/>
                <w:szCs w:val="28"/>
                <w:highlight w:val="none"/>
              </w:rPr>
            </w:pPr>
          </w:p>
        </w:tc>
        <w:tc>
          <w:tcPr>
            <w:tcW w:w="2520" w:type="dxa"/>
            <w:vAlign w:val="center"/>
          </w:tcPr>
          <w:p>
            <w:pPr>
              <w:pStyle w:val="211"/>
              <w:spacing w:line="360" w:lineRule="auto"/>
              <w:jc w:val="center"/>
              <w:rPr>
                <w:rFonts w:ascii="宋体" w:hAnsi="宋体"/>
                <w:bCs/>
                <w:sz w:val="24"/>
                <w:szCs w:val="28"/>
                <w:highlight w:val="none"/>
              </w:rPr>
            </w:pPr>
          </w:p>
        </w:tc>
        <w:tc>
          <w:tcPr>
            <w:tcW w:w="2160" w:type="dxa"/>
            <w:vAlign w:val="center"/>
          </w:tcPr>
          <w:p>
            <w:pPr>
              <w:pStyle w:val="211"/>
              <w:spacing w:line="360" w:lineRule="auto"/>
              <w:jc w:val="center"/>
              <w:rPr>
                <w:rFonts w:ascii="宋体" w:hAnsi="宋体"/>
                <w:bCs/>
                <w:sz w:val="24"/>
                <w:szCs w:val="28"/>
                <w:highlight w:val="none"/>
              </w:rPr>
            </w:pPr>
          </w:p>
        </w:tc>
      </w:tr>
    </w:tbl>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spacing w:line="500" w:lineRule="exact"/>
        <w:rPr>
          <w:rFonts w:ascii="宋体" w:hAnsi="宋体"/>
          <w:bCs/>
          <w:sz w:val="24"/>
          <w:szCs w:val="28"/>
          <w:highlight w:val="none"/>
        </w:rPr>
      </w:pPr>
    </w:p>
    <w:p>
      <w:pPr>
        <w:pStyle w:val="211"/>
        <w:tabs>
          <w:tab w:val="left" w:pos="540"/>
        </w:tabs>
        <w:spacing w:line="440" w:lineRule="exact"/>
        <w:jc w:val="left"/>
        <w:rPr>
          <w:rFonts w:ascii="宋体" w:hAnsi="宋体"/>
          <w:sz w:val="24"/>
          <w:szCs w:val="28"/>
          <w:highlight w:val="none"/>
        </w:rPr>
      </w:pPr>
      <w:r>
        <w:rPr>
          <w:rFonts w:hint="eastAsia" w:ascii="宋体" w:hAnsi="宋体"/>
          <w:sz w:val="24"/>
          <w:szCs w:val="28"/>
          <w:highlight w:val="none"/>
        </w:rPr>
        <w:t xml:space="preserve">   投标人法定代表人（签章） ：</w:t>
      </w:r>
    </w:p>
    <w:p>
      <w:pPr>
        <w:pStyle w:val="211"/>
        <w:tabs>
          <w:tab w:val="left" w:pos="540"/>
        </w:tabs>
        <w:spacing w:line="440" w:lineRule="exact"/>
        <w:jc w:val="left"/>
        <w:rPr>
          <w:rFonts w:ascii="宋体" w:hAnsi="宋体"/>
          <w:sz w:val="24"/>
          <w:szCs w:val="28"/>
          <w:highlight w:val="none"/>
        </w:rPr>
      </w:pPr>
      <w:r>
        <w:rPr>
          <w:rFonts w:hint="eastAsia" w:ascii="宋体" w:hAnsi="宋体"/>
          <w:sz w:val="24"/>
          <w:szCs w:val="28"/>
          <w:highlight w:val="none"/>
        </w:rPr>
        <w:t xml:space="preserve">   投标人名称（签章） ：</w:t>
      </w:r>
    </w:p>
    <w:p>
      <w:pPr>
        <w:pStyle w:val="211"/>
        <w:tabs>
          <w:tab w:val="left" w:pos="540"/>
        </w:tabs>
        <w:spacing w:line="440" w:lineRule="exact"/>
        <w:jc w:val="left"/>
        <w:rPr>
          <w:rFonts w:ascii="宋体" w:hAnsi="宋体"/>
          <w:sz w:val="24"/>
          <w:szCs w:val="28"/>
          <w:highlight w:val="none"/>
        </w:rPr>
      </w:pPr>
      <w:r>
        <w:rPr>
          <w:rFonts w:hint="eastAsia" w:ascii="宋体" w:hAnsi="宋体"/>
          <w:sz w:val="24"/>
          <w:szCs w:val="28"/>
          <w:highlight w:val="none"/>
        </w:rPr>
        <w:t xml:space="preserve">    日期：   年  月    日 </w:t>
      </w:r>
    </w:p>
    <w:p>
      <w:pPr>
        <w:pStyle w:val="211"/>
        <w:spacing w:line="500" w:lineRule="exact"/>
        <w:rPr>
          <w:rFonts w:ascii="宋体" w:hAnsi="宋体"/>
          <w:bCs/>
          <w:sz w:val="24"/>
          <w:szCs w:val="28"/>
          <w:highlight w:val="none"/>
        </w:rPr>
      </w:pPr>
    </w:p>
    <w:p>
      <w:pPr>
        <w:pStyle w:val="211"/>
        <w:spacing w:line="460" w:lineRule="exact"/>
        <w:ind w:left="731" w:hanging="731"/>
        <w:jc w:val="center"/>
        <w:rPr>
          <w:rFonts w:ascii="宋体" w:hAnsi="宋体"/>
          <w:b/>
          <w:sz w:val="24"/>
          <w:szCs w:val="28"/>
          <w:highlight w:val="none"/>
        </w:rPr>
      </w:pPr>
    </w:p>
    <w:p>
      <w:pPr>
        <w:pStyle w:val="211"/>
        <w:spacing w:line="460" w:lineRule="exact"/>
        <w:ind w:left="731" w:hanging="731"/>
        <w:jc w:val="center"/>
        <w:rPr>
          <w:rFonts w:ascii="宋体" w:hAnsi="宋体"/>
          <w:b/>
          <w:sz w:val="24"/>
          <w:szCs w:val="28"/>
          <w:highlight w:val="none"/>
        </w:rPr>
      </w:pPr>
    </w:p>
    <w:p>
      <w:pPr>
        <w:pStyle w:val="211"/>
        <w:spacing w:line="460" w:lineRule="exact"/>
        <w:ind w:left="731" w:hanging="731"/>
        <w:jc w:val="center"/>
        <w:rPr>
          <w:rFonts w:ascii="宋体" w:hAnsi="宋体"/>
          <w:b/>
          <w:sz w:val="24"/>
          <w:szCs w:val="28"/>
          <w:highlight w:val="none"/>
        </w:rPr>
      </w:pPr>
    </w:p>
    <w:p>
      <w:pPr>
        <w:pStyle w:val="211"/>
        <w:spacing w:line="460" w:lineRule="exact"/>
        <w:ind w:left="731" w:hanging="731"/>
        <w:jc w:val="center"/>
        <w:rPr>
          <w:rFonts w:ascii="宋体" w:hAnsi="宋体"/>
          <w:b/>
          <w:sz w:val="24"/>
          <w:szCs w:val="28"/>
          <w:highlight w:val="none"/>
        </w:rPr>
      </w:pPr>
    </w:p>
    <w:p>
      <w:pPr>
        <w:pStyle w:val="211"/>
        <w:adjustRightInd w:val="0"/>
        <w:snapToGrid w:val="0"/>
        <w:spacing w:line="400" w:lineRule="exact"/>
        <w:rPr>
          <w:rFonts w:ascii="宋体" w:hAnsi="宋体"/>
          <w:b/>
          <w:sz w:val="28"/>
          <w:szCs w:val="32"/>
          <w:highlight w:val="none"/>
        </w:rPr>
      </w:pPr>
    </w:p>
    <w:p>
      <w:pPr>
        <w:pStyle w:val="111"/>
        <w:jc w:val="center"/>
        <w:outlineLvl w:val="1"/>
        <w:rPr>
          <w:rFonts w:ascii="宋体" w:hAnsi="宋体" w:cs="宋体"/>
          <w:sz w:val="28"/>
          <w:szCs w:val="28"/>
          <w:highlight w:val="none"/>
        </w:rPr>
      </w:pPr>
      <w:bookmarkStart w:id="434" w:name="_Toc29419"/>
      <w:bookmarkStart w:id="435" w:name="_Toc529781803"/>
      <w:r>
        <w:rPr>
          <w:rFonts w:hint="eastAsia" w:ascii="宋体" w:hAnsi="宋体" w:cs="宋体"/>
          <w:sz w:val="28"/>
          <w:szCs w:val="28"/>
          <w:highlight w:val="none"/>
        </w:rPr>
        <w:t>6、项目班子成员情况表</w:t>
      </w:r>
      <w:bookmarkEnd w:id="434"/>
      <w:bookmarkEnd w:id="435"/>
    </w:p>
    <w:p>
      <w:pPr>
        <w:pStyle w:val="64"/>
        <w:adjustRightInd w:val="0"/>
        <w:snapToGrid w:val="0"/>
        <w:spacing w:line="500" w:lineRule="exact"/>
        <w:rPr>
          <w:rFonts w:ascii="宋体" w:hAnsi="宋体"/>
          <w:sz w:val="24"/>
          <w:highlight w:val="none"/>
          <w:u w:val="single"/>
        </w:rPr>
      </w:pPr>
      <w:r>
        <w:rPr>
          <w:rFonts w:hint="eastAsia" w:ascii="宋体" w:hAnsi="宋体"/>
          <w:sz w:val="24"/>
          <w:highlight w:val="none"/>
        </w:rPr>
        <w:t>项目名称：</w:t>
      </w:r>
    </w:p>
    <w:p>
      <w:pPr>
        <w:pStyle w:val="215"/>
        <w:ind w:firstLine="480"/>
        <w:rPr>
          <w:rFonts w:ascii="宋体" w:hAnsi="宋体"/>
          <w:sz w:val="24"/>
          <w:highlight w:val="none"/>
        </w:rPr>
      </w:pPr>
    </w:p>
    <w:tbl>
      <w:tblPr>
        <w:tblStyle w:val="42"/>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34"/>
        <w:gridCol w:w="1985"/>
        <w:gridCol w:w="1275"/>
        <w:gridCol w:w="226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pct10" w:color="auto" w:fill="auto"/>
            <w:vAlign w:val="center"/>
          </w:tcPr>
          <w:p>
            <w:pPr>
              <w:pStyle w:val="64"/>
              <w:rPr>
                <w:rFonts w:ascii="宋体" w:hAnsi="宋体"/>
                <w:sz w:val="24"/>
                <w:highlight w:val="none"/>
              </w:rPr>
            </w:pPr>
            <w:r>
              <w:rPr>
                <w:rFonts w:hint="eastAsia" w:ascii="宋体" w:hAnsi="宋体"/>
                <w:sz w:val="24"/>
                <w:highlight w:val="none"/>
              </w:rPr>
              <w:t>序号</w:t>
            </w:r>
          </w:p>
        </w:tc>
        <w:tc>
          <w:tcPr>
            <w:tcW w:w="1134" w:type="dxa"/>
            <w:tcBorders>
              <w:top w:val="single" w:color="auto" w:sz="4" w:space="0"/>
              <w:left w:val="single" w:color="auto" w:sz="4" w:space="0"/>
              <w:bottom w:val="single" w:color="auto" w:sz="4" w:space="0"/>
              <w:right w:val="single" w:color="auto" w:sz="4" w:space="0"/>
            </w:tcBorders>
            <w:shd w:val="pct10" w:color="auto" w:fill="auto"/>
            <w:vAlign w:val="center"/>
          </w:tcPr>
          <w:p>
            <w:pPr>
              <w:pStyle w:val="64"/>
              <w:rPr>
                <w:rFonts w:ascii="宋体" w:hAnsi="宋体"/>
                <w:sz w:val="24"/>
                <w:highlight w:val="none"/>
              </w:rPr>
            </w:pPr>
            <w:r>
              <w:rPr>
                <w:rFonts w:hint="eastAsia" w:ascii="宋体" w:hAnsi="宋体"/>
                <w:sz w:val="24"/>
                <w:highlight w:val="none"/>
              </w:rPr>
              <w:t>姓名</w:t>
            </w:r>
          </w:p>
        </w:tc>
        <w:tc>
          <w:tcPr>
            <w:tcW w:w="1134" w:type="dxa"/>
            <w:tcBorders>
              <w:top w:val="single" w:color="auto" w:sz="4" w:space="0"/>
              <w:left w:val="single" w:color="auto" w:sz="4" w:space="0"/>
              <w:bottom w:val="single" w:color="auto" w:sz="4" w:space="0"/>
              <w:right w:val="single" w:color="auto" w:sz="4" w:space="0"/>
            </w:tcBorders>
            <w:shd w:val="pct10" w:color="auto" w:fill="auto"/>
            <w:vAlign w:val="center"/>
          </w:tcPr>
          <w:p>
            <w:pPr>
              <w:pStyle w:val="64"/>
              <w:rPr>
                <w:rFonts w:ascii="宋体" w:hAnsi="宋体"/>
                <w:sz w:val="24"/>
                <w:highlight w:val="none"/>
              </w:rPr>
            </w:pPr>
            <w:r>
              <w:rPr>
                <w:rFonts w:hint="eastAsia" w:ascii="宋体" w:hAnsi="宋体"/>
                <w:sz w:val="24"/>
                <w:highlight w:val="none"/>
              </w:rPr>
              <w:t>身份证号</w:t>
            </w:r>
          </w:p>
        </w:tc>
        <w:tc>
          <w:tcPr>
            <w:tcW w:w="1985" w:type="dxa"/>
            <w:tcBorders>
              <w:top w:val="single" w:color="auto" w:sz="4" w:space="0"/>
              <w:left w:val="single" w:color="auto" w:sz="4" w:space="0"/>
              <w:bottom w:val="single" w:color="auto" w:sz="4" w:space="0"/>
              <w:right w:val="single" w:color="auto" w:sz="4" w:space="0"/>
            </w:tcBorders>
            <w:shd w:val="pct10" w:color="auto" w:fill="auto"/>
            <w:vAlign w:val="center"/>
          </w:tcPr>
          <w:p>
            <w:pPr>
              <w:pStyle w:val="64"/>
              <w:rPr>
                <w:rFonts w:ascii="宋体" w:hAnsi="宋体"/>
                <w:sz w:val="24"/>
                <w:highlight w:val="none"/>
              </w:rPr>
            </w:pPr>
            <w:r>
              <w:rPr>
                <w:rFonts w:hint="eastAsia" w:ascii="宋体" w:hAnsi="宋体"/>
                <w:sz w:val="24"/>
                <w:highlight w:val="none"/>
              </w:rPr>
              <w:t>地址</w:t>
            </w:r>
          </w:p>
        </w:tc>
        <w:tc>
          <w:tcPr>
            <w:tcW w:w="1275" w:type="dxa"/>
            <w:tcBorders>
              <w:top w:val="single" w:color="auto" w:sz="4" w:space="0"/>
              <w:left w:val="single" w:color="auto" w:sz="4" w:space="0"/>
              <w:bottom w:val="single" w:color="auto" w:sz="4" w:space="0"/>
              <w:right w:val="single" w:color="auto" w:sz="4" w:space="0"/>
            </w:tcBorders>
            <w:shd w:val="pct10" w:color="auto" w:fill="auto"/>
            <w:vAlign w:val="center"/>
          </w:tcPr>
          <w:p>
            <w:pPr>
              <w:pStyle w:val="64"/>
              <w:rPr>
                <w:rFonts w:ascii="宋体" w:hAnsi="宋体"/>
                <w:sz w:val="24"/>
                <w:highlight w:val="none"/>
              </w:rPr>
            </w:pPr>
            <w:r>
              <w:rPr>
                <w:rFonts w:hint="eastAsia" w:ascii="宋体" w:hAnsi="宋体"/>
                <w:sz w:val="24"/>
                <w:highlight w:val="none"/>
              </w:rPr>
              <w:t>任职</w:t>
            </w:r>
          </w:p>
          <w:p>
            <w:pPr>
              <w:pStyle w:val="64"/>
              <w:rPr>
                <w:rFonts w:ascii="宋体" w:hAnsi="宋体"/>
                <w:sz w:val="24"/>
                <w:highlight w:val="none"/>
              </w:rPr>
            </w:pPr>
            <w:r>
              <w:rPr>
                <w:rFonts w:hint="eastAsia" w:ascii="宋体" w:hAnsi="宋体"/>
                <w:sz w:val="24"/>
                <w:highlight w:val="none"/>
              </w:rPr>
              <w:t>时间</w:t>
            </w:r>
          </w:p>
        </w:tc>
        <w:tc>
          <w:tcPr>
            <w:tcW w:w="2268" w:type="dxa"/>
            <w:tcBorders>
              <w:top w:val="single" w:color="auto" w:sz="4" w:space="0"/>
              <w:left w:val="single" w:color="auto" w:sz="4" w:space="0"/>
              <w:right w:val="single" w:color="auto" w:sz="4" w:space="0"/>
            </w:tcBorders>
            <w:shd w:val="pct10" w:color="auto" w:fill="auto"/>
            <w:vAlign w:val="center"/>
          </w:tcPr>
          <w:p>
            <w:pPr>
              <w:pStyle w:val="64"/>
              <w:rPr>
                <w:rFonts w:ascii="宋体" w:hAnsi="宋体"/>
                <w:sz w:val="24"/>
                <w:highlight w:val="none"/>
              </w:rPr>
            </w:pPr>
            <w:r>
              <w:rPr>
                <w:rFonts w:hint="eastAsia" w:ascii="宋体" w:hAnsi="宋体"/>
                <w:sz w:val="24"/>
                <w:highlight w:val="none"/>
              </w:rPr>
              <w:t>在本项目中承担的服务</w:t>
            </w:r>
          </w:p>
        </w:tc>
        <w:tc>
          <w:tcPr>
            <w:tcW w:w="1560" w:type="dxa"/>
            <w:tcBorders>
              <w:top w:val="single" w:color="auto" w:sz="4" w:space="0"/>
              <w:left w:val="single" w:color="auto" w:sz="4" w:space="0"/>
              <w:right w:val="single" w:color="auto" w:sz="4" w:space="0"/>
            </w:tcBorders>
            <w:shd w:val="pct10" w:color="auto" w:fill="auto"/>
            <w:vAlign w:val="center"/>
          </w:tcPr>
          <w:p>
            <w:pPr>
              <w:pStyle w:val="64"/>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right w:val="single" w:color="auto" w:sz="4" w:space="0"/>
            </w:tcBorders>
          </w:tcPr>
          <w:p>
            <w:pPr>
              <w:pStyle w:val="64"/>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right w:val="single" w:color="auto" w:sz="4" w:space="0"/>
            </w:tcBorders>
          </w:tcPr>
          <w:p>
            <w:pPr>
              <w:pStyle w:val="64"/>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right w:val="single" w:color="auto" w:sz="4" w:space="0"/>
            </w:tcBorders>
          </w:tcPr>
          <w:p>
            <w:pPr>
              <w:pStyle w:val="64"/>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right w:val="single" w:color="auto" w:sz="4" w:space="0"/>
            </w:tcBorders>
          </w:tcPr>
          <w:p>
            <w:pPr>
              <w:pStyle w:val="64"/>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right w:val="single" w:color="auto" w:sz="4" w:space="0"/>
            </w:tcBorders>
          </w:tcPr>
          <w:p>
            <w:pPr>
              <w:pStyle w:val="64"/>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right w:val="single" w:color="auto" w:sz="4" w:space="0"/>
            </w:tcBorders>
          </w:tcPr>
          <w:p>
            <w:pPr>
              <w:pStyle w:val="64"/>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right w:val="single" w:color="auto" w:sz="4" w:space="0"/>
            </w:tcBorders>
          </w:tcPr>
          <w:p>
            <w:pPr>
              <w:pStyle w:val="64"/>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right w:val="single" w:color="auto" w:sz="4" w:space="0"/>
            </w:tcBorders>
          </w:tcPr>
          <w:p>
            <w:pPr>
              <w:pStyle w:val="64"/>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64"/>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4"/>
              <w:rPr>
                <w:rFonts w:ascii="宋体" w:hAnsi="宋体"/>
                <w:sz w:val="24"/>
                <w:highlight w:val="none"/>
              </w:rPr>
            </w:pPr>
          </w:p>
        </w:tc>
        <w:tc>
          <w:tcPr>
            <w:tcW w:w="2268" w:type="dxa"/>
            <w:tcBorders>
              <w:left w:val="single" w:color="auto" w:sz="4" w:space="0"/>
              <w:bottom w:val="single" w:color="auto" w:sz="4" w:space="0"/>
              <w:right w:val="single" w:color="auto" w:sz="4" w:space="0"/>
            </w:tcBorders>
          </w:tcPr>
          <w:p>
            <w:pPr>
              <w:pStyle w:val="64"/>
              <w:rPr>
                <w:rFonts w:ascii="宋体" w:hAnsi="宋体"/>
                <w:sz w:val="24"/>
                <w:highlight w:val="none"/>
              </w:rPr>
            </w:pPr>
          </w:p>
        </w:tc>
        <w:tc>
          <w:tcPr>
            <w:tcW w:w="1560" w:type="dxa"/>
            <w:tcBorders>
              <w:left w:val="single" w:color="auto" w:sz="4" w:space="0"/>
              <w:bottom w:val="single" w:color="auto" w:sz="4" w:space="0"/>
              <w:right w:val="single" w:color="auto" w:sz="4" w:space="0"/>
            </w:tcBorders>
          </w:tcPr>
          <w:p>
            <w:pPr>
              <w:pStyle w:val="64"/>
              <w:rPr>
                <w:rFonts w:ascii="宋体" w:hAnsi="宋体"/>
                <w:sz w:val="24"/>
                <w:highlight w:val="none"/>
              </w:rPr>
            </w:pPr>
          </w:p>
        </w:tc>
      </w:tr>
    </w:tbl>
    <w:p>
      <w:pPr>
        <w:pStyle w:val="242"/>
        <w:spacing w:line="360" w:lineRule="auto"/>
        <w:rPr>
          <w:rFonts w:hAnsi="宋体"/>
          <w:szCs w:val="24"/>
          <w:highlight w:val="none"/>
        </w:rPr>
      </w:pPr>
    </w:p>
    <w:p>
      <w:pPr>
        <w:pStyle w:val="64"/>
        <w:adjustRightInd w:val="0"/>
        <w:snapToGrid w:val="0"/>
        <w:spacing w:line="500" w:lineRule="exact"/>
        <w:rPr>
          <w:rFonts w:ascii="宋体" w:hAnsi="宋体"/>
          <w:sz w:val="28"/>
          <w:szCs w:val="28"/>
          <w:highlight w:val="none"/>
        </w:rPr>
      </w:pPr>
    </w:p>
    <w:p>
      <w:pPr>
        <w:pStyle w:val="242"/>
        <w:spacing w:line="360" w:lineRule="auto"/>
        <w:rPr>
          <w:rFonts w:hAnsi="宋体"/>
          <w:szCs w:val="24"/>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111"/>
        <w:jc w:val="center"/>
        <w:outlineLvl w:val="1"/>
        <w:rPr>
          <w:rFonts w:ascii="宋体" w:hAnsi="宋体" w:cs="宋体"/>
          <w:sz w:val="28"/>
          <w:szCs w:val="28"/>
          <w:highlight w:val="none"/>
        </w:rPr>
      </w:pPr>
      <w:bookmarkStart w:id="436" w:name="_Toc17175"/>
      <w:bookmarkStart w:id="437" w:name="_Toc483319437"/>
    </w:p>
    <w:p>
      <w:pPr>
        <w:pStyle w:val="112"/>
        <w:rPr>
          <w:highlight w:val="none"/>
        </w:rPr>
      </w:pPr>
    </w:p>
    <w:p>
      <w:pPr>
        <w:pStyle w:val="112"/>
        <w:rPr>
          <w:highlight w:val="none"/>
        </w:rPr>
      </w:pPr>
    </w:p>
    <w:p>
      <w:pPr>
        <w:pStyle w:val="112"/>
        <w:rPr>
          <w:highlight w:val="none"/>
        </w:rPr>
      </w:pPr>
    </w:p>
    <w:p>
      <w:pPr>
        <w:pStyle w:val="112"/>
        <w:rPr>
          <w:highlight w:val="none"/>
        </w:rPr>
      </w:pPr>
    </w:p>
    <w:p>
      <w:pPr>
        <w:pStyle w:val="111"/>
        <w:jc w:val="center"/>
        <w:outlineLvl w:val="1"/>
        <w:rPr>
          <w:rFonts w:ascii="宋体" w:hAnsi="宋体" w:cs="宋体"/>
          <w:sz w:val="28"/>
          <w:szCs w:val="28"/>
          <w:highlight w:val="none"/>
        </w:rPr>
      </w:pPr>
      <w:r>
        <w:rPr>
          <w:rFonts w:hint="eastAsia" w:ascii="宋体" w:hAnsi="宋体" w:cs="宋体"/>
          <w:sz w:val="28"/>
          <w:szCs w:val="28"/>
          <w:highlight w:val="none"/>
        </w:rPr>
        <w:t>7、拟投入保洁工具及设备情况表</w:t>
      </w:r>
    </w:p>
    <w:p>
      <w:pPr>
        <w:pStyle w:val="64"/>
        <w:adjustRightInd w:val="0"/>
        <w:snapToGrid w:val="0"/>
        <w:spacing w:line="500" w:lineRule="exact"/>
        <w:rPr>
          <w:rFonts w:ascii="宋体" w:hAnsi="宋体"/>
          <w:sz w:val="24"/>
          <w:highlight w:val="none"/>
        </w:rPr>
      </w:pPr>
    </w:p>
    <w:p>
      <w:pPr>
        <w:pStyle w:val="64"/>
        <w:adjustRightInd w:val="0"/>
        <w:snapToGrid w:val="0"/>
        <w:spacing w:line="500" w:lineRule="exact"/>
        <w:rPr>
          <w:rFonts w:ascii="宋体" w:hAnsi="宋体"/>
          <w:sz w:val="24"/>
          <w:highlight w:val="none"/>
          <w:u w:val="single"/>
        </w:rPr>
      </w:pPr>
      <w:r>
        <w:rPr>
          <w:rFonts w:hint="eastAsia" w:ascii="宋体" w:hAnsi="宋体"/>
          <w:sz w:val="24"/>
          <w:highlight w:val="none"/>
        </w:rPr>
        <w:t>项目名称：</w:t>
      </w:r>
    </w:p>
    <w:p>
      <w:pPr>
        <w:pStyle w:val="64"/>
        <w:adjustRightInd w:val="0"/>
        <w:snapToGrid w:val="0"/>
        <w:spacing w:line="500" w:lineRule="exact"/>
        <w:rPr>
          <w:rFonts w:ascii="宋体" w:hAnsi="宋体"/>
          <w:sz w:val="24"/>
          <w:highlight w:val="none"/>
          <w:u w:val="single"/>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880"/>
        <w:gridCol w:w="249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pStyle w:val="112"/>
              <w:jc w:val="center"/>
              <w:rPr>
                <w:rFonts w:ascii="宋体" w:hAnsi="宋体"/>
                <w:sz w:val="24"/>
                <w:szCs w:val="24"/>
                <w:highlight w:val="none"/>
              </w:rPr>
            </w:pPr>
            <w:r>
              <w:rPr>
                <w:rFonts w:hint="eastAsia" w:ascii="宋体" w:hAnsi="宋体"/>
                <w:sz w:val="24"/>
                <w:szCs w:val="24"/>
                <w:highlight w:val="none"/>
              </w:rPr>
              <w:t>序号</w:t>
            </w:r>
          </w:p>
        </w:tc>
        <w:tc>
          <w:tcPr>
            <w:tcW w:w="3880" w:type="dxa"/>
            <w:vAlign w:val="center"/>
          </w:tcPr>
          <w:p>
            <w:pPr>
              <w:pStyle w:val="112"/>
              <w:jc w:val="center"/>
              <w:rPr>
                <w:rFonts w:ascii="宋体" w:hAnsi="宋体"/>
                <w:sz w:val="24"/>
                <w:szCs w:val="24"/>
                <w:highlight w:val="none"/>
              </w:rPr>
            </w:pPr>
            <w:r>
              <w:rPr>
                <w:rFonts w:hint="eastAsia" w:ascii="宋体" w:hAnsi="宋体"/>
                <w:sz w:val="24"/>
                <w:szCs w:val="24"/>
                <w:highlight w:val="none"/>
              </w:rPr>
              <w:t>保洁工具</w:t>
            </w:r>
          </w:p>
        </w:tc>
        <w:tc>
          <w:tcPr>
            <w:tcW w:w="2491" w:type="dxa"/>
            <w:vAlign w:val="center"/>
          </w:tcPr>
          <w:p>
            <w:pPr>
              <w:pStyle w:val="112"/>
              <w:jc w:val="center"/>
              <w:rPr>
                <w:rFonts w:ascii="宋体" w:hAnsi="宋体"/>
                <w:sz w:val="24"/>
                <w:szCs w:val="24"/>
                <w:highlight w:val="none"/>
              </w:rPr>
            </w:pPr>
            <w:r>
              <w:rPr>
                <w:rFonts w:hint="eastAsia" w:ascii="宋体" w:hAnsi="宋体"/>
                <w:sz w:val="24"/>
                <w:szCs w:val="24"/>
                <w:highlight w:val="none"/>
              </w:rPr>
              <w:t>保洁设备</w:t>
            </w:r>
          </w:p>
        </w:tc>
        <w:tc>
          <w:tcPr>
            <w:tcW w:w="2134" w:type="dxa"/>
            <w:vAlign w:val="center"/>
          </w:tcPr>
          <w:p>
            <w:pPr>
              <w:pStyle w:val="112"/>
              <w:jc w:val="center"/>
              <w:rPr>
                <w:rFonts w:ascii="宋体" w:hAnsi="宋体"/>
                <w:sz w:val="24"/>
                <w:szCs w:val="24"/>
                <w:highlight w:val="none"/>
              </w:rPr>
            </w:pPr>
            <w:r>
              <w:rPr>
                <w:rFonts w:hint="eastAsia" w:ascii="宋体" w:hAnsi="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pStyle w:val="112"/>
              <w:jc w:val="center"/>
              <w:rPr>
                <w:rFonts w:ascii="宋体" w:hAnsi="宋体"/>
                <w:sz w:val="24"/>
                <w:szCs w:val="24"/>
                <w:highlight w:val="none"/>
              </w:rPr>
            </w:pPr>
            <w:r>
              <w:rPr>
                <w:rFonts w:hint="eastAsia" w:ascii="宋体" w:hAnsi="宋体"/>
                <w:sz w:val="24"/>
                <w:szCs w:val="24"/>
                <w:highlight w:val="none"/>
              </w:rPr>
              <w:t>1</w:t>
            </w:r>
          </w:p>
        </w:tc>
        <w:tc>
          <w:tcPr>
            <w:tcW w:w="3880" w:type="dxa"/>
            <w:vAlign w:val="center"/>
          </w:tcPr>
          <w:p>
            <w:pPr>
              <w:pStyle w:val="112"/>
              <w:jc w:val="center"/>
              <w:rPr>
                <w:rFonts w:ascii="宋体" w:hAnsi="宋体"/>
                <w:sz w:val="24"/>
                <w:szCs w:val="24"/>
                <w:highlight w:val="none"/>
              </w:rPr>
            </w:pPr>
          </w:p>
        </w:tc>
        <w:tc>
          <w:tcPr>
            <w:tcW w:w="2491" w:type="dxa"/>
            <w:vAlign w:val="center"/>
          </w:tcPr>
          <w:p>
            <w:pPr>
              <w:pStyle w:val="112"/>
              <w:jc w:val="center"/>
              <w:rPr>
                <w:rFonts w:ascii="宋体" w:hAnsi="宋体"/>
                <w:sz w:val="24"/>
                <w:szCs w:val="24"/>
                <w:highlight w:val="none"/>
              </w:rPr>
            </w:pPr>
          </w:p>
        </w:tc>
        <w:tc>
          <w:tcPr>
            <w:tcW w:w="2134" w:type="dxa"/>
            <w:vAlign w:val="center"/>
          </w:tcPr>
          <w:p>
            <w:pPr>
              <w:pStyle w:val="112"/>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pStyle w:val="112"/>
              <w:jc w:val="center"/>
              <w:rPr>
                <w:rFonts w:ascii="宋体" w:hAnsi="宋体"/>
                <w:sz w:val="24"/>
                <w:szCs w:val="24"/>
                <w:highlight w:val="none"/>
              </w:rPr>
            </w:pPr>
            <w:r>
              <w:rPr>
                <w:rFonts w:hint="eastAsia" w:ascii="宋体" w:hAnsi="宋体"/>
                <w:sz w:val="24"/>
                <w:szCs w:val="24"/>
                <w:highlight w:val="none"/>
              </w:rPr>
              <w:t>2</w:t>
            </w:r>
          </w:p>
        </w:tc>
        <w:tc>
          <w:tcPr>
            <w:tcW w:w="3880" w:type="dxa"/>
            <w:vAlign w:val="center"/>
          </w:tcPr>
          <w:p>
            <w:pPr>
              <w:pStyle w:val="112"/>
              <w:jc w:val="center"/>
              <w:rPr>
                <w:rFonts w:ascii="宋体" w:hAnsi="宋体"/>
                <w:sz w:val="24"/>
                <w:szCs w:val="24"/>
                <w:highlight w:val="none"/>
              </w:rPr>
            </w:pPr>
          </w:p>
        </w:tc>
        <w:tc>
          <w:tcPr>
            <w:tcW w:w="2491" w:type="dxa"/>
            <w:vAlign w:val="center"/>
          </w:tcPr>
          <w:p>
            <w:pPr>
              <w:pStyle w:val="112"/>
              <w:jc w:val="center"/>
              <w:rPr>
                <w:rFonts w:ascii="宋体" w:hAnsi="宋体"/>
                <w:sz w:val="24"/>
                <w:szCs w:val="24"/>
                <w:highlight w:val="none"/>
              </w:rPr>
            </w:pPr>
          </w:p>
        </w:tc>
        <w:tc>
          <w:tcPr>
            <w:tcW w:w="2134" w:type="dxa"/>
            <w:vAlign w:val="center"/>
          </w:tcPr>
          <w:p>
            <w:pPr>
              <w:pStyle w:val="112"/>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pStyle w:val="112"/>
              <w:jc w:val="center"/>
              <w:rPr>
                <w:rFonts w:ascii="宋体" w:hAnsi="宋体"/>
                <w:sz w:val="24"/>
                <w:szCs w:val="24"/>
                <w:highlight w:val="none"/>
              </w:rPr>
            </w:pPr>
            <w:r>
              <w:rPr>
                <w:rFonts w:hint="eastAsia" w:ascii="宋体" w:hAnsi="宋体"/>
                <w:sz w:val="24"/>
                <w:szCs w:val="24"/>
                <w:highlight w:val="none"/>
              </w:rPr>
              <w:t>3</w:t>
            </w:r>
          </w:p>
        </w:tc>
        <w:tc>
          <w:tcPr>
            <w:tcW w:w="3880" w:type="dxa"/>
            <w:vAlign w:val="center"/>
          </w:tcPr>
          <w:p>
            <w:pPr>
              <w:pStyle w:val="112"/>
              <w:jc w:val="center"/>
              <w:rPr>
                <w:rFonts w:ascii="宋体" w:hAnsi="宋体"/>
                <w:sz w:val="24"/>
                <w:szCs w:val="24"/>
                <w:highlight w:val="none"/>
              </w:rPr>
            </w:pPr>
          </w:p>
        </w:tc>
        <w:tc>
          <w:tcPr>
            <w:tcW w:w="2491" w:type="dxa"/>
            <w:vAlign w:val="center"/>
          </w:tcPr>
          <w:p>
            <w:pPr>
              <w:pStyle w:val="112"/>
              <w:jc w:val="center"/>
              <w:rPr>
                <w:rFonts w:ascii="宋体" w:hAnsi="宋体"/>
                <w:sz w:val="24"/>
                <w:szCs w:val="24"/>
                <w:highlight w:val="none"/>
              </w:rPr>
            </w:pPr>
          </w:p>
        </w:tc>
        <w:tc>
          <w:tcPr>
            <w:tcW w:w="2134" w:type="dxa"/>
            <w:vAlign w:val="center"/>
          </w:tcPr>
          <w:p>
            <w:pPr>
              <w:pStyle w:val="112"/>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pStyle w:val="112"/>
              <w:jc w:val="center"/>
              <w:rPr>
                <w:rFonts w:ascii="宋体" w:hAnsi="宋体"/>
                <w:sz w:val="24"/>
                <w:szCs w:val="24"/>
                <w:highlight w:val="none"/>
              </w:rPr>
            </w:pPr>
            <w:r>
              <w:rPr>
                <w:rFonts w:hint="eastAsia" w:ascii="宋体" w:hAnsi="宋体"/>
                <w:sz w:val="24"/>
                <w:szCs w:val="24"/>
                <w:highlight w:val="none"/>
              </w:rPr>
              <w:t>4</w:t>
            </w:r>
          </w:p>
        </w:tc>
        <w:tc>
          <w:tcPr>
            <w:tcW w:w="3880" w:type="dxa"/>
            <w:vAlign w:val="center"/>
          </w:tcPr>
          <w:p>
            <w:pPr>
              <w:pStyle w:val="112"/>
              <w:jc w:val="center"/>
              <w:rPr>
                <w:rFonts w:ascii="宋体" w:hAnsi="宋体"/>
                <w:sz w:val="24"/>
                <w:szCs w:val="24"/>
                <w:highlight w:val="none"/>
              </w:rPr>
            </w:pPr>
          </w:p>
        </w:tc>
        <w:tc>
          <w:tcPr>
            <w:tcW w:w="2491" w:type="dxa"/>
            <w:vAlign w:val="center"/>
          </w:tcPr>
          <w:p>
            <w:pPr>
              <w:pStyle w:val="112"/>
              <w:jc w:val="center"/>
              <w:rPr>
                <w:rFonts w:ascii="宋体" w:hAnsi="宋体"/>
                <w:sz w:val="24"/>
                <w:szCs w:val="24"/>
                <w:highlight w:val="none"/>
              </w:rPr>
            </w:pPr>
          </w:p>
        </w:tc>
        <w:tc>
          <w:tcPr>
            <w:tcW w:w="2134" w:type="dxa"/>
            <w:vAlign w:val="center"/>
          </w:tcPr>
          <w:p>
            <w:pPr>
              <w:pStyle w:val="112"/>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pStyle w:val="112"/>
              <w:jc w:val="center"/>
              <w:rPr>
                <w:rFonts w:ascii="宋体" w:hAnsi="宋体"/>
                <w:sz w:val="24"/>
                <w:szCs w:val="24"/>
                <w:highlight w:val="none"/>
              </w:rPr>
            </w:pPr>
            <w:r>
              <w:rPr>
                <w:rFonts w:hint="eastAsia" w:ascii="宋体" w:hAnsi="宋体"/>
                <w:sz w:val="24"/>
                <w:szCs w:val="24"/>
                <w:highlight w:val="none"/>
              </w:rPr>
              <w:t>5</w:t>
            </w:r>
          </w:p>
        </w:tc>
        <w:tc>
          <w:tcPr>
            <w:tcW w:w="3880" w:type="dxa"/>
            <w:vAlign w:val="center"/>
          </w:tcPr>
          <w:p>
            <w:pPr>
              <w:pStyle w:val="112"/>
              <w:jc w:val="center"/>
              <w:rPr>
                <w:rFonts w:ascii="宋体" w:hAnsi="宋体"/>
                <w:sz w:val="24"/>
                <w:szCs w:val="24"/>
                <w:highlight w:val="none"/>
              </w:rPr>
            </w:pPr>
          </w:p>
        </w:tc>
        <w:tc>
          <w:tcPr>
            <w:tcW w:w="2491" w:type="dxa"/>
            <w:vAlign w:val="center"/>
          </w:tcPr>
          <w:p>
            <w:pPr>
              <w:pStyle w:val="112"/>
              <w:jc w:val="center"/>
              <w:rPr>
                <w:rFonts w:ascii="宋体" w:hAnsi="宋体"/>
                <w:sz w:val="24"/>
                <w:szCs w:val="24"/>
                <w:highlight w:val="none"/>
              </w:rPr>
            </w:pPr>
          </w:p>
        </w:tc>
        <w:tc>
          <w:tcPr>
            <w:tcW w:w="2134" w:type="dxa"/>
            <w:vAlign w:val="center"/>
          </w:tcPr>
          <w:p>
            <w:pPr>
              <w:pStyle w:val="112"/>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pStyle w:val="112"/>
              <w:jc w:val="center"/>
              <w:rPr>
                <w:rFonts w:ascii="宋体" w:hAnsi="宋体"/>
                <w:sz w:val="24"/>
                <w:szCs w:val="24"/>
                <w:highlight w:val="none"/>
              </w:rPr>
            </w:pPr>
            <w:r>
              <w:rPr>
                <w:rFonts w:hint="eastAsia" w:ascii="宋体" w:hAnsi="宋体"/>
                <w:sz w:val="24"/>
                <w:szCs w:val="24"/>
                <w:highlight w:val="none"/>
              </w:rPr>
              <w:t>6</w:t>
            </w:r>
          </w:p>
        </w:tc>
        <w:tc>
          <w:tcPr>
            <w:tcW w:w="3880" w:type="dxa"/>
            <w:vAlign w:val="center"/>
          </w:tcPr>
          <w:p>
            <w:pPr>
              <w:pStyle w:val="112"/>
              <w:jc w:val="center"/>
              <w:rPr>
                <w:rFonts w:ascii="宋体" w:hAnsi="宋体"/>
                <w:sz w:val="24"/>
                <w:szCs w:val="24"/>
                <w:highlight w:val="none"/>
              </w:rPr>
            </w:pPr>
          </w:p>
        </w:tc>
        <w:tc>
          <w:tcPr>
            <w:tcW w:w="2491" w:type="dxa"/>
            <w:vAlign w:val="center"/>
          </w:tcPr>
          <w:p>
            <w:pPr>
              <w:pStyle w:val="112"/>
              <w:jc w:val="center"/>
              <w:rPr>
                <w:rFonts w:ascii="宋体" w:hAnsi="宋体"/>
                <w:sz w:val="24"/>
                <w:szCs w:val="24"/>
                <w:highlight w:val="none"/>
              </w:rPr>
            </w:pPr>
          </w:p>
        </w:tc>
        <w:tc>
          <w:tcPr>
            <w:tcW w:w="2134" w:type="dxa"/>
            <w:vAlign w:val="center"/>
          </w:tcPr>
          <w:p>
            <w:pPr>
              <w:pStyle w:val="112"/>
              <w:jc w:val="center"/>
              <w:rPr>
                <w:rFonts w:ascii="宋体" w:hAnsi="宋体"/>
                <w:sz w:val="24"/>
                <w:szCs w:val="24"/>
                <w:highlight w:val="none"/>
              </w:rPr>
            </w:pPr>
          </w:p>
        </w:tc>
      </w:tr>
    </w:tbl>
    <w:p>
      <w:pPr>
        <w:pStyle w:val="112"/>
        <w:rPr>
          <w:highlight w:val="none"/>
        </w:rPr>
      </w:pPr>
    </w:p>
    <w:p>
      <w:pPr>
        <w:pStyle w:val="111"/>
        <w:jc w:val="center"/>
        <w:outlineLvl w:val="1"/>
        <w:rPr>
          <w:rFonts w:ascii="宋体" w:hAnsi="宋体" w:cs="宋体"/>
          <w:sz w:val="28"/>
          <w:szCs w:val="28"/>
          <w:highlight w:val="none"/>
        </w:rPr>
      </w:pPr>
    </w:p>
    <w:p>
      <w:pPr>
        <w:pStyle w:val="111"/>
        <w:jc w:val="center"/>
        <w:outlineLvl w:val="1"/>
        <w:rPr>
          <w:rFonts w:ascii="宋体" w:hAnsi="宋体" w:cs="宋体"/>
          <w:sz w:val="28"/>
          <w:szCs w:val="28"/>
          <w:highlight w:val="none"/>
        </w:rPr>
      </w:pPr>
    </w:p>
    <w:p>
      <w:pPr>
        <w:pStyle w:val="111"/>
        <w:jc w:val="center"/>
        <w:outlineLvl w:val="1"/>
        <w:rPr>
          <w:rFonts w:ascii="宋体" w:hAnsi="宋体" w:cs="宋体"/>
          <w:sz w:val="28"/>
          <w:szCs w:val="28"/>
          <w:highlight w:val="none"/>
        </w:rPr>
      </w:pPr>
    </w:p>
    <w:p>
      <w:pPr>
        <w:pStyle w:val="111"/>
        <w:jc w:val="center"/>
        <w:outlineLvl w:val="1"/>
        <w:rPr>
          <w:rFonts w:ascii="宋体" w:hAnsi="宋体" w:cs="宋体"/>
          <w:sz w:val="28"/>
          <w:szCs w:val="28"/>
          <w:highlight w:val="none"/>
        </w:rPr>
      </w:pPr>
    </w:p>
    <w:p>
      <w:pPr>
        <w:pStyle w:val="111"/>
        <w:jc w:val="center"/>
        <w:outlineLvl w:val="1"/>
        <w:rPr>
          <w:rFonts w:ascii="宋体" w:hAnsi="宋体" w:cs="宋体"/>
          <w:sz w:val="28"/>
          <w:szCs w:val="28"/>
          <w:highlight w:val="none"/>
        </w:rPr>
      </w:pPr>
    </w:p>
    <w:p>
      <w:pPr>
        <w:pStyle w:val="111"/>
        <w:jc w:val="center"/>
        <w:outlineLvl w:val="1"/>
        <w:rPr>
          <w:rFonts w:ascii="宋体" w:hAnsi="宋体" w:cs="宋体"/>
          <w:sz w:val="28"/>
          <w:szCs w:val="28"/>
          <w:highlight w:val="none"/>
        </w:rPr>
      </w:pPr>
    </w:p>
    <w:p>
      <w:pPr>
        <w:pStyle w:val="111"/>
        <w:jc w:val="center"/>
        <w:outlineLvl w:val="1"/>
        <w:rPr>
          <w:rFonts w:ascii="宋体" w:hAnsi="宋体" w:cs="宋体"/>
          <w:sz w:val="28"/>
          <w:szCs w:val="28"/>
          <w:highlight w:val="none"/>
        </w:rPr>
      </w:pPr>
    </w:p>
    <w:p>
      <w:pPr>
        <w:pStyle w:val="111"/>
        <w:outlineLvl w:val="1"/>
        <w:rPr>
          <w:rFonts w:ascii="宋体" w:hAnsi="宋体" w:cs="宋体"/>
          <w:sz w:val="28"/>
          <w:szCs w:val="28"/>
          <w:highlight w:val="none"/>
        </w:rPr>
      </w:pPr>
    </w:p>
    <w:p>
      <w:pPr>
        <w:pStyle w:val="111"/>
        <w:jc w:val="center"/>
        <w:outlineLvl w:val="1"/>
        <w:rPr>
          <w:rFonts w:ascii="宋体" w:hAnsi="宋体" w:cs="宋体"/>
          <w:sz w:val="28"/>
          <w:szCs w:val="28"/>
          <w:highlight w:val="none"/>
        </w:rPr>
      </w:pPr>
      <w:r>
        <w:rPr>
          <w:rFonts w:hint="eastAsia" w:ascii="宋体" w:hAnsi="宋体" w:cs="宋体"/>
          <w:sz w:val="28"/>
          <w:szCs w:val="28"/>
          <w:highlight w:val="none"/>
        </w:rPr>
        <w:t>8、投标人类似项目业绩表</w:t>
      </w:r>
      <w:bookmarkEnd w:id="436"/>
      <w:bookmarkEnd w:id="437"/>
    </w:p>
    <w:p>
      <w:pPr>
        <w:pStyle w:val="96"/>
        <w:adjustRightInd w:val="0"/>
        <w:snapToGrid w:val="0"/>
        <w:spacing w:line="500" w:lineRule="exact"/>
        <w:rPr>
          <w:rFonts w:ascii="宋体" w:hAnsi="宋体"/>
          <w:sz w:val="24"/>
          <w:highlight w:val="none"/>
        </w:rPr>
      </w:pPr>
    </w:p>
    <w:p>
      <w:pPr>
        <w:pStyle w:val="96"/>
        <w:adjustRightInd w:val="0"/>
        <w:snapToGrid w:val="0"/>
        <w:spacing w:line="500" w:lineRule="exact"/>
        <w:rPr>
          <w:rFonts w:ascii="宋体" w:hAnsi="宋体"/>
          <w:sz w:val="24"/>
          <w:highlight w:val="none"/>
          <w:u w:val="single"/>
        </w:rPr>
      </w:pPr>
      <w:r>
        <w:rPr>
          <w:rFonts w:hint="eastAsia" w:ascii="宋体" w:hAnsi="宋体"/>
          <w:sz w:val="24"/>
          <w:highlight w:val="none"/>
        </w:rPr>
        <w:t>项目名称：</w:t>
      </w:r>
    </w:p>
    <w:tbl>
      <w:tblPr>
        <w:tblStyle w:val="4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96"/>
              <w:jc w:val="center"/>
              <w:rPr>
                <w:rFonts w:ascii="宋体" w:hAnsi="宋体"/>
                <w:sz w:val="24"/>
                <w:highlight w:val="none"/>
              </w:rPr>
            </w:pPr>
            <w:r>
              <w:rPr>
                <w:rFonts w:hint="eastAsia" w:ascii="宋体" w:hAnsi="宋体"/>
                <w:sz w:val="24"/>
                <w:highlight w:val="none"/>
              </w:rPr>
              <w:t>项目名称</w:t>
            </w:r>
          </w:p>
        </w:tc>
        <w:tc>
          <w:tcPr>
            <w:tcW w:w="7200" w:type="dxa"/>
          </w:tcPr>
          <w:p>
            <w:pPr>
              <w:pStyle w:val="9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96"/>
              <w:jc w:val="center"/>
              <w:rPr>
                <w:rFonts w:ascii="宋体" w:hAnsi="宋体"/>
                <w:sz w:val="24"/>
                <w:highlight w:val="none"/>
              </w:rPr>
            </w:pPr>
            <w:r>
              <w:rPr>
                <w:rFonts w:hint="eastAsia" w:ascii="宋体" w:hAnsi="宋体"/>
                <w:sz w:val="24"/>
                <w:highlight w:val="none"/>
              </w:rPr>
              <w:t>项目单位名称</w:t>
            </w:r>
          </w:p>
        </w:tc>
        <w:tc>
          <w:tcPr>
            <w:tcW w:w="7200" w:type="dxa"/>
          </w:tcPr>
          <w:p>
            <w:pPr>
              <w:pStyle w:val="9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96"/>
              <w:jc w:val="center"/>
              <w:rPr>
                <w:rFonts w:ascii="宋体" w:hAnsi="宋体"/>
                <w:sz w:val="24"/>
                <w:highlight w:val="none"/>
              </w:rPr>
            </w:pPr>
            <w:r>
              <w:rPr>
                <w:rFonts w:hint="eastAsia" w:ascii="宋体" w:hAnsi="宋体"/>
                <w:sz w:val="24"/>
                <w:highlight w:val="none"/>
              </w:rPr>
              <w:t>项目单位联系人姓名及联系方式</w:t>
            </w:r>
          </w:p>
        </w:tc>
        <w:tc>
          <w:tcPr>
            <w:tcW w:w="7200" w:type="dxa"/>
          </w:tcPr>
          <w:p>
            <w:pPr>
              <w:pStyle w:val="9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96"/>
              <w:jc w:val="center"/>
              <w:rPr>
                <w:rFonts w:ascii="宋体" w:hAnsi="宋体"/>
                <w:sz w:val="24"/>
                <w:highlight w:val="none"/>
              </w:rPr>
            </w:pPr>
            <w:r>
              <w:rPr>
                <w:rFonts w:hint="eastAsia" w:ascii="宋体" w:hAnsi="宋体"/>
                <w:sz w:val="24"/>
                <w:highlight w:val="none"/>
              </w:rPr>
              <w:t>合同金额</w:t>
            </w:r>
          </w:p>
        </w:tc>
        <w:tc>
          <w:tcPr>
            <w:tcW w:w="7200" w:type="dxa"/>
          </w:tcPr>
          <w:p>
            <w:pPr>
              <w:pStyle w:val="9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96"/>
              <w:jc w:val="center"/>
              <w:rPr>
                <w:rFonts w:ascii="宋体" w:hAnsi="宋体"/>
                <w:sz w:val="24"/>
                <w:highlight w:val="none"/>
              </w:rPr>
            </w:pPr>
            <w:r>
              <w:rPr>
                <w:rFonts w:hint="eastAsia" w:ascii="宋体" w:hAnsi="宋体"/>
                <w:sz w:val="24"/>
                <w:highlight w:val="none"/>
              </w:rPr>
              <w:t>项目负责人</w:t>
            </w:r>
          </w:p>
          <w:p>
            <w:pPr>
              <w:pStyle w:val="96"/>
              <w:jc w:val="center"/>
              <w:rPr>
                <w:rFonts w:ascii="宋体" w:hAnsi="宋体"/>
                <w:sz w:val="24"/>
                <w:highlight w:val="none"/>
              </w:rPr>
            </w:pPr>
            <w:r>
              <w:rPr>
                <w:rFonts w:hint="eastAsia" w:ascii="宋体" w:hAnsi="宋体"/>
                <w:sz w:val="24"/>
                <w:highlight w:val="none"/>
              </w:rPr>
              <w:t>姓名</w:t>
            </w:r>
          </w:p>
        </w:tc>
        <w:tc>
          <w:tcPr>
            <w:tcW w:w="7200" w:type="dxa"/>
          </w:tcPr>
          <w:p>
            <w:pPr>
              <w:pStyle w:val="9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96"/>
              <w:jc w:val="center"/>
              <w:rPr>
                <w:rFonts w:ascii="宋体" w:hAnsi="宋体"/>
                <w:sz w:val="24"/>
                <w:highlight w:val="none"/>
              </w:rPr>
            </w:pPr>
            <w:r>
              <w:rPr>
                <w:rFonts w:hint="eastAsia" w:ascii="宋体" w:hAnsi="宋体"/>
                <w:sz w:val="24"/>
                <w:highlight w:val="none"/>
              </w:rPr>
              <w:t>项目实施时间</w:t>
            </w:r>
          </w:p>
        </w:tc>
        <w:tc>
          <w:tcPr>
            <w:tcW w:w="7200" w:type="dxa"/>
          </w:tcPr>
          <w:p>
            <w:pPr>
              <w:pStyle w:val="9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96"/>
              <w:jc w:val="center"/>
              <w:rPr>
                <w:rFonts w:ascii="宋体" w:hAnsi="宋体"/>
                <w:sz w:val="24"/>
                <w:highlight w:val="none"/>
              </w:rPr>
            </w:pPr>
            <w:r>
              <w:rPr>
                <w:rFonts w:hint="eastAsia" w:ascii="宋体" w:hAnsi="宋体"/>
                <w:sz w:val="24"/>
                <w:highlight w:val="none"/>
              </w:rPr>
              <w:t>项目内容说明</w:t>
            </w:r>
          </w:p>
        </w:tc>
        <w:tc>
          <w:tcPr>
            <w:tcW w:w="7200" w:type="dxa"/>
          </w:tcPr>
          <w:p>
            <w:pPr>
              <w:pStyle w:val="96"/>
              <w:jc w:val="center"/>
              <w:rPr>
                <w:rFonts w:ascii="宋体" w:hAnsi="宋体"/>
                <w:sz w:val="24"/>
                <w:highlight w:val="none"/>
              </w:rPr>
            </w:pPr>
          </w:p>
        </w:tc>
      </w:tr>
    </w:tbl>
    <w:p>
      <w:pPr>
        <w:pStyle w:val="96"/>
        <w:autoSpaceDE w:val="0"/>
        <w:autoSpaceDN w:val="0"/>
        <w:spacing w:line="360" w:lineRule="auto"/>
        <w:rPr>
          <w:rFonts w:ascii="宋体" w:hAnsi="宋体"/>
          <w:sz w:val="24"/>
          <w:highlight w:val="none"/>
        </w:rPr>
      </w:pPr>
    </w:p>
    <w:p>
      <w:pPr>
        <w:pStyle w:val="96"/>
        <w:autoSpaceDE w:val="0"/>
        <w:autoSpaceDN w:val="0"/>
        <w:spacing w:line="360" w:lineRule="auto"/>
        <w:rPr>
          <w:rFonts w:ascii="宋体" w:hAnsi="宋体"/>
          <w:sz w:val="24"/>
          <w:highlight w:val="none"/>
        </w:rPr>
      </w:pPr>
      <w:r>
        <w:rPr>
          <w:rFonts w:hint="eastAsia" w:ascii="宋体" w:hAnsi="宋体"/>
          <w:sz w:val="24"/>
          <w:highlight w:val="none"/>
        </w:rPr>
        <w:t>说明：1．每个合同须单独附表，并附上相关证明材料，否则评审时将不予采信；</w:t>
      </w:r>
    </w:p>
    <w:p>
      <w:pPr>
        <w:pStyle w:val="64"/>
        <w:spacing w:line="360" w:lineRule="auto"/>
        <w:ind w:firstLine="720" w:firstLineChars="300"/>
        <w:rPr>
          <w:rFonts w:ascii="宋体" w:hAnsi="宋体" w:cs="宋体"/>
          <w:sz w:val="24"/>
          <w:highlight w:val="none"/>
        </w:rPr>
      </w:pPr>
      <w:r>
        <w:rPr>
          <w:rFonts w:hint="eastAsia" w:ascii="宋体" w:hAnsi="宋体"/>
          <w:sz w:val="24"/>
          <w:highlight w:val="none"/>
        </w:rPr>
        <w:t>2．项目内容请详细说明所承担的具体服务内容。</w:t>
      </w:r>
    </w:p>
    <w:p>
      <w:pPr>
        <w:pStyle w:val="64"/>
        <w:spacing w:line="360" w:lineRule="auto"/>
        <w:ind w:firstLine="840" w:firstLineChars="300"/>
        <w:rPr>
          <w:rFonts w:ascii="宋体" w:hAnsi="宋体"/>
          <w:sz w:val="28"/>
          <w:szCs w:val="28"/>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p>
    <w:p>
      <w:pPr>
        <w:pStyle w:val="211"/>
        <w:adjustRightInd w:val="0"/>
        <w:snapToGrid w:val="0"/>
        <w:spacing w:line="400" w:lineRule="exact"/>
        <w:jc w:val="center"/>
        <w:rPr>
          <w:rFonts w:ascii="宋体" w:hAnsi="宋体"/>
          <w:b/>
          <w:sz w:val="28"/>
          <w:szCs w:val="32"/>
          <w:highlight w:val="none"/>
        </w:rPr>
      </w:pPr>
      <w:r>
        <w:rPr>
          <w:rFonts w:hint="eastAsia" w:ascii="宋体" w:hAnsi="宋体"/>
          <w:b/>
          <w:sz w:val="28"/>
          <w:szCs w:val="32"/>
          <w:highlight w:val="none"/>
        </w:rPr>
        <w:t>9、其他（信用信息查询截图及其他证明资料）</w:t>
      </w: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11"/>
        <w:autoSpaceDE w:val="0"/>
        <w:autoSpaceDN w:val="0"/>
        <w:spacing w:line="440" w:lineRule="exact"/>
        <w:rPr>
          <w:rFonts w:ascii="宋体" w:hAnsi="宋体"/>
          <w:sz w:val="24"/>
          <w:szCs w:val="28"/>
          <w:highlight w:val="none"/>
        </w:rPr>
      </w:pPr>
    </w:p>
    <w:p>
      <w:pPr>
        <w:pStyle w:val="239"/>
        <w:outlineLvl w:val="0"/>
        <w:rPr>
          <w:rFonts w:ascii="宋体" w:hAnsi="宋体"/>
          <w:highlight w:val="none"/>
        </w:rPr>
      </w:pPr>
      <w:bookmarkStart w:id="438" w:name="_Toc31067"/>
      <w:r>
        <w:rPr>
          <w:rFonts w:hint="eastAsia" w:ascii="宋体" w:hAnsi="宋体"/>
          <w:highlight w:val="none"/>
        </w:rPr>
        <w:t>二、技术文件</w:t>
      </w:r>
      <w:bookmarkEnd w:id="438"/>
    </w:p>
    <w:p>
      <w:pPr>
        <w:pStyle w:val="96"/>
        <w:autoSpaceDE w:val="0"/>
        <w:autoSpaceDN w:val="0"/>
        <w:adjustRightInd w:val="0"/>
        <w:spacing w:line="500" w:lineRule="exact"/>
        <w:rPr>
          <w:rFonts w:ascii="宋体" w:hAnsi="宋体" w:cs="宋体"/>
          <w:kern w:val="0"/>
          <w:sz w:val="24"/>
          <w:highlight w:val="none"/>
        </w:rPr>
      </w:pPr>
      <w:r>
        <w:rPr>
          <w:rFonts w:hint="eastAsia" w:ascii="宋体" w:hAnsi="宋体" w:cs="宋体"/>
          <w:kern w:val="0"/>
          <w:sz w:val="24"/>
          <w:highlight w:val="none"/>
        </w:rPr>
        <w:t>1、技术文件目录</w:t>
      </w:r>
    </w:p>
    <w:p>
      <w:pPr>
        <w:pStyle w:val="96"/>
        <w:autoSpaceDE w:val="0"/>
        <w:autoSpaceDN w:val="0"/>
        <w:adjustRightInd w:val="0"/>
        <w:spacing w:line="500" w:lineRule="exact"/>
        <w:rPr>
          <w:rFonts w:ascii="宋体" w:hAnsi="宋体" w:cs="宋体"/>
          <w:kern w:val="0"/>
          <w:sz w:val="24"/>
          <w:highlight w:val="none"/>
        </w:rPr>
      </w:pPr>
      <w:r>
        <w:rPr>
          <w:rFonts w:hint="eastAsia" w:ascii="宋体" w:hAnsi="宋体" w:cs="宋体"/>
          <w:kern w:val="0"/>
          <w:sz w:val="24"/>
          <w:highlight w:val="none"/>
        </w:rPr>
        <w:t>2、人员配备方案</w:t>
      </w:r>
    </w:p>
    <w:p>
      <w:pPr>
        <w:pStyle w:val="96"/>
        <w:autoSpaceDE w:val="0"/>
        <w:autoSpaceDN w:val="0"/>
        <w:adjustRightInd w:val="0"/>
        <w:spacing w:line="500" w:lineRule="exact"/>
        <w:rPr>
          <w:rFonts w:ascii="宋体" w:hAnsi="宋体" w:cs="宋体"/>
          <w:kern w:val="0"/>
          <w:sz w:val="24"/>
          <w:highlight w:val="none"/>
        </w:rPr>
      </w:pPr>
      <w:r>
        <w:rPr>
          <w:rFonts w:hint="eastAsia" w:ascii="宋体" w:hAnsi="宋体" w:cs="宋体"/>
          <w:kern w:val="0"/>
          <w:sz w:val="24"/>
          <w:highlight w:val="none"/>
        </w:rPr>
        <w:t>3、保洁服务方案</w:t>
      </w:r>
    </w:p>
    <w:p>
      <w:pPr>
        <w:pStyle w:val="96"/>
        <w:autoSpaceDE w:val="0"/>
        <w:autoSpaceDN w:val="0"/>
        <w:adjustRightInd w:val="0"/>
        <w:spacing w:line="500" w:lineRule="exact"/>
        <w:rPr>
          <w:rFonts w:ascii="宋体" w:hAnsi="宋体" w:cs="宋体"/>
          <w:kern w:val="0"/>
          <w:sz w:val="24"/>
          <w:highlight w:val="none"/>
        </w:rPr>
      </w:pPr>
      <w:r>
        <w:rPr>
          <w:rFonts w:hint="eastAsia" w:ascii="宋体" w:hAnsi="宋体" w:cs="宋体"/>
          <w:kern w:val="0"/>
          <w:sz w:val="24"/>
          <w:highlight w:val="none"/>
        </w:rPr>
        <w:t>4、专业设备</w:t>
      </w:r>
    </w:p>
    <w:p>
      <w:pPr>
        <w:pStyle w:val="96"/>
        <w:autoSpaceDE w:val="0"/>
        <w:autoSpaceDN w:val="0"/>
        <w:adjustRightInd w:val="0"/>
        <w:spacing w:line="500" w:lineRule="exact"/>
        <w:rPr>
          <w:rFonts w:ascii="宋体" w:hAnsi="宋体" w:cs="宋体"/>
          <w:kern w:val="0"/>
          <w:sz w:val="24"/>
          <w:highlight w:val="none"/>
        </w:rPr>
      </w:pPr>
      <w:r>
        <w:rPr>
          <w:rFonts w:hint="eastAsia" w:ascii="宋体" w:hAnsi="宋体" w:cs="宋体"/>
          <w:kern w:val="0"/>
          <w:sz w:val="24"/>
          <w:highlight w:val="none"/>
        </w:rPr>
        <w:t xml:space="preserve">5、应急预案 </w:t>
      </w:r>
    </w:p>
    <w:p>
      <w:pPr>
        <w:pStyle w:val="96"/>
        <w:autoSpaceDE w:val="0"/>
        <w:autoSpaceDN w:val="0"/>
        <w:adjustRightInd w:val="0"/>
        <w:spacing w:line="500" w:lineRule="exact"/>
        <w:rPr>
          <w:rFonts w:ascii="宋体" w:hAnsi="宋体" w:cs="宋体"/>
          <w:kern w:val="0"/>
          <w:sz w:val="24"/>
          <w:highlight w:val="none"/>
        </w:rPr>
      </w:pPr>
      <w:r>
        <w:rPr>
          <w:rFonts w:hint="eastAsia" w:ascii="宋体" w:hAnsi="宋体" w:cs="宋体"/>
          <w:kern w:val="0"/>
          <w:sz w:val="24"/>
          <w:highlight w:val="none"/>
        </w:rPr>
        <w:t xml:space="preserve">6、管理制度 </w:t>
      </w:r>
    </w:p>
    <w:p>
      <w:pPr>
        <w:pStyle w:val="96"/>
        <w:autoSpaceDE w:val="0"/>
        <w:autoSpaceDN w:val="0"/>
        <w:adjustRightInd w:val="0"/>
        <w:spacing w:line="500" w:lineRule="exact"/>
        <w:rPr>
          <w:rFonts w:ascii="宋体" w:hAnsi="宋体" w:cs="宋体"/>
          <w:kern w:val="0"/>
          <w:sz w:val="24"/>
          <w:highlight w:val="none"/>
        </w:rPr>
      </w:pPr>
      <w:r>
        <w:rPr>
          <w:rFonts w:hint="eastAsia" w:ascii="宋体" w:hAnsi="宋体" w:cs="宋体"/>
          <w:kern w:val="0"/>
          <w:sz w:val="24"/>
          <w:highlight w:val="none"/>
        </w:rPr>
        <w:t xml:space="preserve">7、培训方案 </w:t>
      </w:r>
      <w:bookmarkStart w:id="439" w:name="_Toc28648"/>
    </w:p>
    <w:p>
      <w:pPr>
        <w:pStyle w:val="96"/>
        <w:autoSpaceDE w:val="0"/>
        <w:autoSpaceDN w:val="0"/>
        <w:adjustRightInd w:val="0"/>
        <w:spacing w:line="500" w:lineRule="exact"/>
        <w:rPr>
          <w:rFonts w:ascii="宋体" w:hAnsi="宋体" w:cs="宋体"/>
          <w:kern w:val="0"/>
          <w:sz w:val="24"/>
          <w:highlight w:val="none"/>
        </w:rPr>
      </w:pPr>
      <w:r>
        <w:rPr>
          <w:rFonts w:hint="eastAsia" w:ascii="宋体" w:hAnsi="宋体" w:cs="宋体"/>
          <w:bCs/>
          <w:sz w:val="24"/>
          <w:highlight w:val="none"/>
        </w:rPr>
        <w:t>8</w:t>
      </w:r>
      <w:r>
        <w:rPr>
          <w:rFonts w:hint="eastAsia" w:ascii="宋体" w:hAnsi="宋体" w:cs="宋体"/>
          <w:sz w:val="24"/>
          <w:highlight w:val="none"/>
        </w:rPr>
        <w:t>、投标人认为需要提供的其它文件及资料。</w:t>
      </w:r>
      <w:bookmarkEnd w:id="439"/>
    </w:p>
    <w:p>
      <w:pPr>
        <w:spacing w:line="500" w:lineRule="exact"/>
        <w:rPr>
          <w:rFonts w:ascii="宋体" w:hAnsi="宋体" w:cs="宋体"/>
          <w:color w:val="000000"/>
          <w:highlight w:val="none"/>
        </w:rPr>
      </w:pPr>
    </w:p>
    <w:sectPr>
      <w:footerReference r:id="rId4" w:type="default"/>
      <w:footerReference r:id="rId5" w:type="even"/>
      <w:type w:val="continuous"/>
      <w:pgSz w:w="11907" w:h="16840"/>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3073" o:spid="_x0000_s3073"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46"/>
      </w:rPr>
    </w:pPr>
    <w:r>
      <w:fldChar w:fldCharType="begin"/>
    </w:r>
    <w:r>
      <w:rPr>
        <w:rStyle w:val="46"/>
      </w:rPr>
      <w:instrText xml:space="preserve">PAGE  </w:instrTex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1">
    <w:nsid w:val="05FD2DAB"/>
    <w:multiLevelType w:val="singleLevel"/>
    <w:tmpl w:val="05FD2DAB"/>
    <w:lvl w:ilvl="0" w:tentative="0">
      <w:start w:val="1"/>
      <w:numFmt w:val="decimal"/>
      <w:suff w:val="space"/>
      <w:lvlText w:val="%1."/>
      <w:lvlJc w:val="left"/>
    </w:lvl>
  </w:abstractNum>
  <w:abstractNum w:abstractNumId="2">
    <w:nsid w:val="0E574A54"/>
    <w:multiLevelType w:val="multilevel"/>
    <w:tmpl w:val="0E574A54"/>
    <w:lvl w:ilvl="0" w:tentative="0">
      <w:start w:val="1"/>
      <w:numFmt w:val="japaneseCounting"/>
      <w:pStyle w:val="157"/>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6808"/>
    <w:rsid w:val="000005D1"/>
    <w:rsid w:val="0000253E"/>
    <w:rsid w:val="00007016"/>
    <w:rsid w:val="00007A31"/>
    <w:rsid w:val="000126FF"/>
    <w:rsid w:val="00012E85"/>
    <w:rsid w:val="00013815"/>
    <w:rsid w:val="00017912"/>
    <w:rsid w:val="00031D6C"/>
    <w:rsid w:val="0003459B"/>
    <w:rsid w:val="00037BFA"/>
    <w:rsid w:val="00043588"/>
    <w:rsid w:val="00043D32"/>
    <w:rsid w:val="0004682D"/>
    <w:rsid w:val="000470D2"/>
    <w:rsid w:val="0005355A"/>
    <w:rsid w:val="00054F6D"/>
    <w:rsid w:val="0006080A"/>
    <w:rsid w:val="00061C46"/>
    <w:rsid w:val="00063156"/>
    <w:rsid w:val="00076033"/>
    <w:rsid w:val="0008151D"/>
    <w:rsid w:val="00086DD9"/>
    <w:rsid w:val="000923B3"/>
    <w:rsid w:val="000927DD"/>
    <w:rsid w:val="00093B13"/>
    <w:rsid w:val="0009474A"/>
    <w:rsid w:val="00095563"/>
    <w:rsid w:val="00095727"/>
    <w:rsid w:val="000A604A"/>
    <w:rsid w:val="000B0444"/>
    <w:rsid w:val="000B5407"/>
    <w:rsid w:val="000B7723"/>
    <w:rsid w:val="000C0111"/>
    <w:rsid w:val="000C04F1"/>
    <w:rsid w:val="000C4FE9"/>
    <w:rsid w:val="000C6ABD"/>
    <w:rsid w:val="000D38F1"/>
    <w:rsid w:val="000D3BA7"/>
    <w:rsid w:val="000D600A"/>
    <w:rsid w:val="000E2789"/>
    <w:rsid w:val="000E57E1"/>
    <w:rsid w:val="000E7E4D"/>
    <w:rsid w:val="000F2AC1"/>
    <w:rsid w:val="000F3A17"/>
    <w:rsid w:val="000F4BFE"/>
    <w:rsid w:val="000F7659"/>
    <w:rsid w:val="00100C4C"/>
    <w:rsid w:val="001056AF"/>
    <w:rsid w:val="00106057"/>
    <w:rsid w:val="00106C16"/>
    <w:rsid w:val="00107C61"/>
    <w:rsid w:val="00110900"/>
    <w:rsid w:val="00115DD2"/>
    <w:rsid w:val="001239F2"/>
    <w:rsid w:val="00123DAE"/>
    <w:rsid w:val="001245C7"/>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6646"/>
    <w:rsid w:val="001B10A5"/>
    <w:rsid w:val="001B40A3"/>
    <w:rsid w:val="001C1127"/>
    <w:rsid w:val="001C3456"/>
    <w:rsid w:val="001D0C91"/>
    <w:rsid w:val="001D17D3"/>
    <w:rsid w:val="001D3123"/>
    <w:rsid w:val="001D7B52"/>
    <w:rsid w:val="00202AFB"/>
    <w:rsid w:val="0021279A"/>
    <w:rsid w:val="00214D8B"/>
    <w:rsid w:val="00216BD9"/>
    <w:rsid w:val="00231510"/>
    <w:rsid w:val="002340AF"/>
    <w:rsid w:val="00240810"/>
    <w:rsid w:val="00243579"/>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B2409"/>
    <w:rsid w:val="002B3F18"/>
    <w:rsid w:val="002B709B"/>
    <w:rsid w:val="002B7CAE"/>
    <w:rsid w:val="002C0EFA"/>
    <w:rsid w:val="002C145B"/>
    <w:rsid w:val="002C22CE"/>
    <w:rsid w:val="002C4D37"/>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5AD9"/>
    <w:rsid w:val="002E7523"/>
    <w:rsid w:val="002E7CD9"/>
    <w:rsid w:val="002F0563"/>
    <w:rsid w:val="002F3CE3"/>
    <w:rsid w:val="002F3D0E"/>
    <w:rsid w:val="00302110"/>
    <w:rsid w:val="003022DA"/>
    <w:rsid w:val="0030699B"/>
    <w:rsid w:val="0031147C"/>
    <w:rsid w:val="00312BDE"/>
    <w:rsid w:val="00313A4F"/>
    <w:rsid w:val="003242B4"/>
    <w:rsid w:val="00325589"/>
    <w:rsid w:val="00344AF5"/>
    <w:rsid w:val="00347673"/>
    <w:rsid w:val="00347682"/>
    <w:rsid w:val="00352115"/>
    <w:rsid w:val="00353DC8"/>
    <w:rsid w:val="003574FC"/>
    <w:rsid w:val="00362661"/>
    <w:rsid w:val="00370271"/>
    <w:rsid w:val="003771F1"/>
    <w:rsid w:val="0038068B"/>
    <w:rsid w:val="00381655"/>
    <w:rsid w:val="00391FC8"/>
    <w:rsid w:val="003945DB"/>
    <w:rsid w:val="00394DB6"/>
    <w:rsid w:val="003A104A"/>
    <w:rsid w:val="003A22D4"/>
    <w:rsid w:val="003A2A2E"/>
    <w:rsid w:val="003A3A87"/>
    <w:rsid w:val="003B242B"/>
    <w:rsid w:val="003B78A7"/>
    <w:rsid w:val="003C05CB"/>
    <w:rsid w:val="003D4747"/>
    <w:rsid w:val="003D4E11"/>
    <w:rsid w:val="003D5B66"/>
    <w:rsid w:val="003E20D6"/>
    <w:rsid w:val="003E3127"/>
    <w:rsid w:val="003E452E"/>
    <w:rsid w:val="003E47CB"/>
    <w:rsid w:val="003E5514"/>
    <w:rsid w:val="003F0533"/>
    <w:rsid w:val="003F0EDE"/>
    <w:rsid w:val="003F12BA"/>
    <w:rsid w:val="003F3456"/>
    <w:rsid w:val="003F3518"/>
    <w:rsid w:val="004017D3"/>
    <w:rsid w:val="00401A22"/>
    <w:rsid w:val="00403AD8"/>
    <w:rsid w:val="004075F6"/>
    <w:rsid w:val="00413188"/>
    <w:rsid w:val="00414B80"/>
    <w:rsid w:val="004219C9"/>
    <w:rsid w:val="00427E5D"/>
    <w:rsid w:val="00432D53"/>
    <w:rsid w:val="00444E58"/>
    <w:rsid w:val="00446039"/>
    <w:rsid w:val="00446C7E"/>
    <w:rsid w:val="004471F8"/>
    <w:rsid w:val="00452783"/>
    <w:rsid w:val="00453887"/>
    <w:rsid w:val="00461CFF"/>
    <w:rsid w:val="00464D50"/>
    <w:rsid w:val="00466225"/>
    <w:rsid w:val="00471C59"/>
    <w:rsid w:val="004738E9"/>
    <w:rsid w:val="0047391D"/>
    <w:rsid w:val="004740CD"/>
    <w:rsid w:val="004742A5"/>
    <w:rsid w:val="00476B8E"/>
    <w:rsid w:val="004776A5"/>
    <w:rsid w:val="00480E05"/>
    <w:rsid w:val="0048104C"/>
    <w:rsid w:val="004815FB"/>
    <w:rsid w:val="00482239"/>
    <w:rsid w:val="00486490"/>
    <w:rsid w:val="004938C0"/>
    <w:rsid w:val="00494AD4"/>
    <w:rsid w:val="00494C5A"/>
    <w:rsid w:val="0049657B"/>
    <w:rsid w:val="00496EC9"/>
    <w:rsid w:val="004970B2"/>
    <w:rsid w:val="004A4232"/>
    <w:rsid w:val="004A48C4"/>
    <w:rsid w:val="004A62B2"/>
    <w:rsid w:val="004A72F1"/>
    <w:rsid w:val="004A7B41"/>
    <w:rsid w:val="004C07E4"/>
    <w:rsid w:val="004C19BC"/>
    <w:rsid w:val="004C3765"/>
    <w:rsid w:val="004C4D28"/>
    <w:rsid w:val="004C50EA"/>
    <w:rsid w:val="004C724D"/>
    <w:rsid w:val="004D0189"/>
    <w:rsid w:val="004D2BD1"/>
    <w:rsid w:val="004D3250"/>
    <w:rsid w:val="004D3ADA"/>
    <w:rsid w:val="004D4078"/>
    <w:rsid w:val="004D432A"/>
    <w:rsid w:val="004E36A3"/>
    <w:rsid w:val="004E40B9"/>
    <w:rsid w:val="004E5B3F"/>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4E6B"/>
    <w:rsid w:val="0054529A"/>
    <w:rsid w:val="005561FB"/>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B26C3"/>
    <w:rsid w:val="005B7D38"/>
    <w:rsid w:val="005D0EF0"/>
    <w:rsid w:val="005D3BE0"/>
    <w:rsid w:val="005D685A"/>
    <w:rsid w:val="005E456F"/>
    <w:rsid w:val="005E4FE8"/>
    <w:rsid w:val="005E68EA"/>
    <w:rsid w:val="005F3B50"/>
    <w:rsid w:val="005F4333"/>
    <w:rsid w:val="0060284F"/>
    <w:rsid w:val="0060581A"/>
    <w:rsid w:val="006103D6"/>
    <w:rsid w:val="00611C72"/>
    <w:rsid w:val="00612817"/>
    <w:rsid w:val="00615FB7"/>
    <w:rsid w:val="006165D1"/>
    <w:rsid w:val="00624AD9"/>
    <w:rsid w:val="006359E3"/>
    <w:rsid w:val="00636E20"/>
    <w:rsid w:val="0064031D"/>
    <w:rsid w:val="006459AC"/>
    <w:rsid w:val="00646918"/>
    <w:rsid w:val="0065196E"/>
    <w:rsid w:val="006555B6"/>
    <w:rsid w:val="006649A5"/>
    <w:rsid w:val="0066614D"/>
    <w:rsid w:val="00667310"/>
    <w:rsid w:val="00670FA1"/>
    <w:rsid w:val="00675155"/>
    <w:rsid w:val="00677537"/>
    <w:rsid w:val="00680DFD"/>
    <w:rsid w:val="00684D18"/>
    <w:rsid w:val="00687DD1"/>
    <w:rsid w:val="00692286"/>
    <w:rsid w:val="006A1AE3"/>
    <w:rsid w:val="006A4ECC"/>
    <w:rsid w:val="006B1BFF"/>
    <w:rsid w:val="006C00B7"/>
    <w:rsid w:val="006C0B25"/>
    <w:rsid w:val="006C143A"/>
    <w:rsid w:val="006C6EB3"/>
    <w:rsid w:val="006C78A1"/>
    <w:rsid w:val="006D186A"/>
    <w:rsid w:val="006D4146"/>
    <w:rsid w:val="006D75AF"/>
    <w:rsid w:val="006F05EC"/>
    <w:rsid w:val="006F12CA"/>
    <w:rsid w:val="006F1A5F"/>
    <w:rsid w:val="006F2AF1"/>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5403"/>
    <w:rsid w:val="007278F5"/>
    <w:rsid w:val="00730B6A"/>
    <w:rsid w:val="007333BA"/>
    <w:rsid w:val="00735771"/>
    <w:rsid w:val="00745387"/>
    <w:rsid w:val="007455C0"/>
    <w:rsid w:val="00746F29"/>
    <w:rsid w:val="007471AE"/>
    <w:rsid w:val="00752623"/>
    <w:rsid w:val="0075306D"/>
    <w:rsid w:val="007551E0"/>
    <w:rsid w:val="00756556"/>
    <w:rsid w:val="0076011B"/>
    <w:rsid w:val="00763BE2"/>
    <w:rsid w:val="00766853"/>
    <w:rsid w:val="007716AA"/>
    <w:rsid w:val="0077345E"/>
    <w:rsid w:val="00775176"/>
    <w:rsid w:val="00775D02"/>
    <w:rsid w:val="00777301"/>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5F34"/>
    <w:rsid w:val="007D7696"/>
    <w:rsid w:val="007E5DB9"/>
    <w:rsid w:val="007F0315"/>
    <w:rsid w:val="007F16D1"/>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30EF"/>
    <w:rsid w:val="008A3223"/>
    <w:rsid w:val="008A5837"/>
    <w:rsid w:val="008B1389"/>
    <w:rsid w:val="008B1BF4"/>
    <w:rsid w:val="008B27AF"/>
    <w:rsid w:val="008B6DCD"/>
    <w:rsid w:val="008C4D3F"/>
    <w:rsid w:val="008D0512"/>
    <w:rsid w:val="008D27EA"/>
    <w:rsid w:val="008D41C8"/>
    <w:rsid w:val="008E0A32"/>
    <w:rsid w:val="008E3FAB"/>
    <w:rsid w:val="008E5CC9"/>
    <w:rsid w:val="008F0BBE"/>
    <w:rsid w:val="00900A0D"/>
    <w:rsid w:val="0090386C"/>
    <w:rsid w:val="00906AA3"/>
    <w:rsid w:val="00907976"/>
    <w:rsid w:val="00911AC3"/>
    <w:rsid w:val="009138EB"/>
    <w:rsid w:val="00917E31"/>
    <w:rsid w:val="00924B59"/>
    <w:rsid w:val="0092606E"/>
    <w:rsid w:val="00931821"/>
    <w:rsid w:val="00934B6A"/>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2017"/>
    <w:rsid w:val="00982E3A"/>
    <w:rsid w:val="00983791"/>
    <w:rsid w:val="00984E65"/>
    <w:rsid w:val="00985877"/>
    <w:rsid w:val="009926AA"/>
    <w:rsid w:val="009A0872"/>
    <w:rsid w:val="009A2188"/>
    <w:rsid w:val="009A7DE8"/>
    <w:rsid w:val="009C0190"/>
    <w:rsid w:val="009C435C"/>
    <w:rsid w:val="009C5842"/>
    <w:rsid w:val="009D26DB"/>
    <w:rsid w:val="009E0F99"/>
    <w:rsid w:val="009E1600"/>
    <w:rsid w:val="009E5D68"/>
    <w:rsid w:val="009F45F5"/>
    <w:rsid w:val="009F71F4"/>
    <w:rsid w:val="009F734A"/>
    <w:rsid w:val="00A01B0B"/>
    <w:rsid w:val="00A03E2B"/>
    <w:rsid w:val="00A057C1"/>
    <w:rsid w:val="00A05E06"/>
    <w:rsid w:val="00A06710"/>
    <w:rsid w:val="00A068B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57778"/>
    <w:rsid w:val="00A57EE3"/>
    <w:rsid w:val="00A61253"/>
    <w:rsid w:val="00A62629"/>
    <w:rsid w:val="00A62850"/>
    <w:rsid w:val="00A72984"/>
    <w:rsid w:val="00A73FE3"/>
    <w:rsid w:val="00A76C5F"/>
    <w:rsid w:val="00A76D8D"/>
    <w:rsid w:val="00A8188C"/>
    <w:rsid w:val="00A9248D"/>
    <w:rsid w:val="00A939D7"/>
    <w:rsid w:val="00A95682"/>
    <w:rsid w:val="00AA0124"/>
    <w:rsid w:val="00AB0866"/>
    <w:rsid w:val="00AB14AC"/>
    <w:rsid w:val="00AC08E1"/>
    <w:rsid w:val="00AC2F49"/>
    <w:rsid w:val="00AC500D"/>
    <w:rsid w:val="00AC51C3"/>
    <w:rsid w:val="00AC7CF9"/>
    <w:rsid w:val="00AD2232"/>
    <w:rsid w:val="00AD3009"/>
    <w:rsid w:val="00AD3C1F"/>
    <w:rsid w:val="00AD4A9A"/>
    <w:rsid w:val="00AD7FAD"/>
    <w:rsid w:val="00AE31C8"/>
    <w:rsid w:val="00AE3F32"/>
    <w:rsid w:val="00AE44F3"/>
    <w:rsid w:val="00AE6223"/>
    <w:rsid w:val="00AF0581"/>
    <w:rsid w:val="00AF0FE8"/>
    <w:rsid w:val="00AF4AD8"/>
    <w:rsid w:val="00B06159"/>
    <w:rsid w:val="00B061AE"/>
    <w:rsid w:val="00B061D0"/>
    <w:rsid w:val="00B13A88"/>
    <w:rsid w:val="00B1560E"/>
    <w:rsid w:val="00B17550"/>
    <w:rsid w:val="00B256E9"/>
    <w:rsid w:val="00B25A6D"/>
    <w:rsid w:val="00B332D5"/>
    <w:rsid w:val="00B36277"/>
    <w:rsid w:val="00B37D5E"/>
    <w:rsid w:val="00B417AE"/>
    <w:rsid w:val="00B427E8"/>
    <w:rsid w:val="00B42E7C"/>
    <w:rsid w:val="00B46010"/>
    <w:rsid w:val="00B51B1D"/>
    <w:rsid w:val="00B5304C"/>
    <w:rsid w:val="00B53BED"/>
    <w:rsid w:val="00B53E4E"/>
    <w:rsid w:val="00B555AB"/>
    <w:rsid w:val="00B555EA"/>
    <w:rsid w:val="00B55724"/>
    <w:rsid w:val="00B61041"/>
    <w:rsid w:val="00B65F6D"/>
    <w:rsid w:val="00B700A1"/>
    <w:rsid w:val="00B717F7"/>
    <w:rsid w:val="00B72471"/>
    <w:rsid w:val="00B75E8B"/>
    <w:rsid w:val="00B76F1F"/>
    <w:rsid w:val="00B7731B"/>
    <w:rsid w:val="00B83E72"/>
    <w:rsid w:val="00B8410B"/>
    <w:rsid w:val="00B903C3"/>
    <w:rsid w:val="00B908EB"/>
    <w:rsid w:val="00B941F0"/>
    <w:rsid w:val="00B96399"/>
    <w:rsid w:val="00B97E8F"/>
    <w:rsid w:val="00BA0662"/>
    <w:rsid w:val="00BA50AC"/>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C02514"/>
    <w:rsid w:val="00C04371"/>
    <w:rsid w:val="00C06AD6"/>
    <w:rsid w:val="00C06FEE"/>
    <w:rsid w:val="00C110CF"/>
    <w:rsid w:val="00C1411D"/>
    <w:rsid w:val="00C1674A"/>
    <w:rsid w:val="00C22EAF"/>
    <w:rsid w:val="00C2401F"/>
    <w:rsid w:val="00C25164"/>
    <w:rsid w:val="00C32F1A"/>
    <w:rsid w:val="00C342E0"/>
    <w:rsid w:val="00C34DD3"/>
    <w:rsid w:val="00C350E6"/>
    <w:rsid w:val="00C479A8"/>
    <w:rsid w:val="00C50B03"/>
    <w:rsid w:val="00C51815"/>
    <w:rsid w:val="00C54D8E"/>
    <w:rsid w:val="00C5540A"/>
    <w:rsid w:val="00C60430"/>
    <w:rsid w:val="00C62D1C"/>
    <w:rsid w:val="00C64433"/>
    <w:rsid w:val="00C64C1E"/>
    <w:rsid w:val="00C66261"/>
    <w:rsid w:val="00C6738A"/>
    <w:rsid w:val="00C67894"/>
    <w:rsid w:val="00C70A6D"/>
    <w:rsid w:val="00C7199A"/>
    <w:rsid w:val="00C71C82"/>
    <w:rsid w:val="00C7411E"/>
    <w:rsid w:val="00C773C5"/>
    <w:rsid w:val="00C83EF3"/>
    <w:rsid w:val="00C97128"/>
    <w:rsid w:val="00C97345"/>
    <w:rsid w:val="00CA421F"/>
    <w:rsid w:val="00CA5A1A"/>
    <w:rsid w:val="00CA6374"/>
    <w:rsid w:val="00CA67E0"/>
    <w:rsid w:val="00CB1225"/>
    <w:rsid w:val="00CB1333"/>
    <w:rsid w:val="00CB43C7"/>
    <w:rsid w:val="00CB6002"/>
    <w:rsid w:val="00CD09DE"/>
    <w:rsid w:val="00CE1A63"/>
    <w:rsid w:val="00CE2DA8"/>
    <w:rsid w:val="00CE41FE"/>
    <w:rsid w:val="00CF0480"/>
    <w:rsid w:val="00CF769A"/>
    <w:rsid w:val="00D07E7C"/>
    <w:rsid w:val="00D10AEF"/>
    <w:rsid w:val="00D12675"/>
    <w:rsid w:val="00D152EB"/>
    <w:rsid w:val="00D24EC6"/>
    <w:rsid w:val="00D32AFA"/>
    <w:rsid w:val="00D36BC3"/>
    <w:rsid w:val="00D37935"/>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94764"/>
    <w:rsid w:val="00D97C0E"/>
    <w:rsid w:val="00DA3336"/>
    <w:rsid w:val="00DB1F07"/>
    <w:rsid w:val="00DB5C9E"/>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321"/>
    <w:rsid w:val="00E25970"/>
    <w:rsid w:val="00E25D74"/>
    <w:rsid w:val="00E31BC4"/>
    <w:rsid w:val="00E32419"/>
    <w:rsid w:val="00E32A71"/>
    <w:rsid w:val="00E35A97"/>
    <w:rsid w:val="00E36600"/>
    <w:rsid w:val="00E378A2"/>
    <w:rsid w:val="00E41EDD"/>
    <w:rsid w:val="00E43BB4"/>
    <w:rsid w:val="00E43F7D"/>
    <w:rsid w:val="00E56741"/>
    <w:rsid w:val="00E56752"/>
    <w:rsid w:val="00E573A6"/>
    <w:rsid w:val="00E604B5"/>
    <w:rsid w:val="00E605EA"/>
    <w:rsid w:val="00E61746"/>
    <w:rsid w:val="00E63BA4"/>
    <w:rsid w:val="00E65BC7"/>
    <w:rsid w:val="00E75C5C"/>
    <w:rsid w:val="00E806E8"/>
    <w:rsid w:val="00E8149B"/>
    <w:rsid w:val="00E8342F"/>
    <w:rsid w:val="00E83E22"/>
    <w:rsid w:val="00E85096"/>
    <w:rsid w:val="00E916E3"/>
    <w:rsid w:val="00E920A2"/>
    <w:rsid w:val="00E932C0"/>
    <w:rsid w:val="00E93D8D"/>
    <w:rsid w:val="00E953FC"/>
    <w:rsid w:val="00EA1339"/>
    <w:rsid w:val="00EA5F71"/>
    <w:rsid w:val="00EB40BE"/>
    <w:rsid w:val="00EB4883"/>
    <w:rsid w:val="00EB7A0E"/>
    <w:rsid w:val="00EC0078"/>
    <w:rsid w:val="00EC0153"/>
    <w:rsid w:val="00EC348E"/>
    <w:rsid w:val="00EC4596"/>
    <w:rsid w:val="00ED2F6B"/>
    <w:rsid w:val="00ED341F"/>
    <w:rsid w:val="00ED398F"/>
    <w:rsid w:val="00ED4C52"/>
    <w:rsid w:val="00ED768F"/>
    <w:rsid w:val="00EE1FF4"/>
    <w:rsid w:val="00EE47E7"/>
    <w:rsid w:val="00EE4B06"/>
    <w:rsid w:val="00EE5D19"/>
    <w:rsid w:val="00EF6178"/>
    <w:rsid w:val="00EF6401"/>
    <w:rsid w:val="00EF6DAD"/>
    <w:rsid w:val="00F01246"/>
    <w:rsid w:val="00F036EE"/>
    <w:rsid w:val="00F04D7A"/>
    <w:rsid w:val="00F07FA8"/>
    <w:rsid w:val="00F2222B"/>
    <w:rsid w:val="00F22D94"/>
    <w:rsid w:val="00F246E9"/>
    <w:rsid w:val="00F25A92"/>
    <w:rsid w:val="00F26A7B"/>
    <w:rsid w:val="00F34712"/>
    <w:rsid w:val="00F37CCF"/>
    <w:rsid w:val="00F44DAD"/>
    <w:rsid w:val="00F45F01"/>
    <w:rsid w:val="00F51B03"/>
    <w:rsid w:val="00F5246F"/>
    <w:rsid w:val="00F55C71"/>
    <w:rsid w:val="00F56870"/>
    <w:rsid w:val="00F57AF2"/>
    <w:rsid w:val="00F602F1"/>
    <w:rsid w:val="00F65FF4"/>
    <w:rsid w:val="00F67ABA"/>
    <w:rsid w:val="00F73BA0"/>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E15"/>
    <w:rsid w:val="00FC1A58"/>
    <w:rsid w:val="00FC2E1E"/>
    <w:rsid w:val="00FC34E2"/>
    <w:rsid w:val="00FC7FA9"/>
    <w:rsid w:val="00FD01CE"/>
    <w:rsid w:val="00FD18D0"/>
    <w:rsid w:val="00FD4F55"/>
    <w:rsid w:val="00FE39B0"/>
    <w:rsid w:val="00FE51AC"/>
    <w:rsid w:val="00FE75F7"/>
    <w:rsid w:val="00FF48F2"/>
    <w:rsid w:val="00FF4969"/>
    <w:rsid w:val="00FF58A8"/>
    <w:rsid w:val="00FF764E"/>
    <w:rsid w:val="012571B9"/>
    <w:rsid w:val="01307F3C"/>
    <w:rsid w:val="01720846"/>
    <w:rsid w:val="018B6860"/>
    <w:rsid w:val="01DA7041"/>
    <w:rsid w:val="01F338D0"/>
    <w:rsid w:val="021A0CBA"/>
    <w:rsid w:val="021D6D77"/>
    <w:rsid w:val="02304280"/>
    <w:rsid w:val="02370503"/>
    <w:rsid w:val="024A54FB"/>
    <w:rsid w:val="02753D4C"/>
    <w:rsid w:val="032E4304"/>
    <w:rsid w:val="0335030D"/>
    <w:rsid w:val="035213F1"/>
    <w:rsid w:val="03B146D2"/>
    <w:rsid w:val="04062C7C"/>
    <w:rsid w:val="041C60DB"/>
    <w:rsid w:val="04830288"/>
    <w:rsid w:val="058828FA"/>
    <w:rsid w:val="05CF39AE"/>
    <w:rsid w:val="061E06DE"/>
    <w:rsid w:val="062743A8"/>
    <w:rsid w:val="0650743D"/>
    <w:rsid w:val="072E1FA4"/>
    <w:rsid w:val="077527A3"/>
    <w:rsid w:val="07977BCA"/>
    <w:rsid w:val="080B4737"/>
    <w:rsid w:val="08351D91"/>
    <w:rsid w:val="08402DD9"/>
    <w:rsid w:val="08701807"/>
    <w:rsid w:val="08770438"/>
    <w:rsid w:val="08B43D54"/>
    <w:rsid w:val="08E57F72"/>
    <w:rsid w:val="09532244"/>
    <w:rsid w:val="09D05D77"/>
    <w:rsid w:val="09E8190C"/>
    <w:rsid w:val="0A310842"/>
    <w:rsid w:val="0A60291D"/>
    <w:rsid w:val="0A7A2A98"/>
    <w:rsid w:val="0AA76A14"/>
    <w:rsid w:val="0B0A6112"/>
    <w:rsid w:val="0B170883"/>
    <w:rsid w:val="0B645ED4"/>
    <w:rsid w:val="0BE71C12"/>
    <w:rsid w:val="0C016969"/>
    <w:rsid w:val="0C472D8B"/>
    <w:rsid w:val="0C9A5685"/>
    <w:rsid w:val="0CC1725E"/>
    <w:rsid w:val="0CCD1228"/>
    <w:rsid w:val="0CFC099D"/>
    <w:rsid w:val="0D485220"/>
    <w:rsid w:val="0D986C14"/>
    <w:rsid w:val="0DC6439B"/>
    <w:rsid w:val="0DEA52C6"/>
    <w:rsid w:val="0E033948"/>
    <w:rsid w:val="0E105A66"/>
    <w:rsid w:val="0E4E0BF3"/>
    <w:rsid w:val="0F2E7983"/>
    <w:rsid w:val="0FA413B4"/>
    <w:rsid w:val="0FCB3D6B"/>
    <w:rsid w:val="107312C8"/>
    <w:rsid w:val="11603D42"/>
    <w:rsid w:val="11AA324A"/>
    <w:rsid w:val="11BA0CE4"/>
    <w:rsid w:val="12257F2C"/>
    <w:rsid w:val="1231384A"/>
    <w:rsid w:val="12457753"/>
    <w:rsid w:val="12740451"/>
    <w:rsid w:val="12BE29E7"/>
    <w:rsid w:val="139820B9"/>
    <w:rsid w:val="13B0724D"/>
    <w:rsid w:val="13E31206"/>
    <w:rsid w:val="13F664A4"/>
    <w:rsid w:val="13F818C0"/>
    <w:rsid w:val="144C2E4F"/>
    <w:rsid w:val="14BB5370"/>
    <w:rsid w:val="14EC0726"/>
    <w:rsid w:val="15707D09"/>
    <w:rsid w:val="157F21E3"/>
    <w:rsid w:val="158B439D"/>
    <w:rsid w:val="158C7EC9"/>
    <w:rsid w:val="15B02999"/>
    <w:rsid w:val="163C28B8"/>
    <w:rsid w:val="165F5086"/>
    <w:rsid w:val="168C424D"/>
    <w:rsid w:val="17274493"/>
    <w:rsid w:val="17352D1B"/>
    <w:rsid w:val="17800427"/>
    <w:rsid w:val="178C48BC"/>
    <w:rsid w:val="17961763"/>
    <w:rsid w:val="17C67F55"/>
    <w:rsid w:val="182855DF"/>
    <w:rsid w:val="18445D3F"/>
    <w:rsid w:val="1897280D"/>
    <w:rsid w:val="18D02A10"/>
    <w:rsid w:val="19C4300A"/>
    <w:rsid w:val="19FE51B3"/>
    <w:rsid w:val="1B1160D1"/>
    <w:rsid w:val="1B9C063E"/>
    <w:rsid w:val="1BA51044"/>
    <w:rsid w:val="1BE212EF"/>
    <w:rsid w:val="1C025469"/>
    <w:rsid w:val="1CF14CBC"/>
    <w:rsid w:val="1DDB46B6"/>
    <w:rsid w:val="1E4D16D4"/>
    <w:rsid w:val="1E687B91"/>
    <w:rsid w:val="1F2075B5"/>
    <w:rsid w:val="1F613C0F"/>
    <w:rsid w:val="1F731D43"/>
    <w:rsid w:val="1FCB5CAB"/>
    <w:rsid w:val="200476F3"/>
    <w:rsid w:val="20516B4B"/>
    <w:rsid w:val="2133781D"/>
    <w:rsid w:val="213E2E44"/>
    <w:rsid w:val="21802D41"/>
    <w:rsid w:val="2198762F"/>
    <w:rsid w:val="21A22ECC"/>
    <w:rsid w:val="21B778AA"/>
    <w:rsid w:val="21C06449"/>
    <w:rsid w:val="22CE1943"/>
    <w:rsid w:val="23AB20DF"/>
    <w:rsid w:val="24303AA3"/>
    <w:rsid w:val="24C12853"/>
    <w:rsid w:val="254678B1"/>
    <w:rsid w:val="26C83876"/>
    <w:rsid w:val="26CF7CAE"/>
    <w:rsid w:val="27324A62"/>
    <w:rsid w:val="273B1308"/>
    <w:rsid w:val="2743403B"/>
    <w:rsid w:val="277E707A"/>
    <w:rsid w:val="27F54A8A"/>
    <w:rsid w:val="28436E12"/>
    <w:rsid w:val="284D54F5"/>
    <w:rsid w:val="28CB0801"/>
    <w:rsid w:val="291250F5"/>
    <w:rsid w:val="2A4F5BBB"/>
    <w:rsid w:val="2C057668"/>
    <w:rsid w:val="2C067184"/>
    <w:rsid w:val="2C3A5935"/>
    <w:rsid w:val="2C4C315F"/>
    <w:rsid w:val="2C4E3E93"/>
    <w:rsid w:val="2CC3645D"/>
    <w:rsid w:val="2D0A0B6F"/>
    <w:rsid w:val="2D7F0511"/>
    <w:rsid w:val="2DC25D07"/>
    <w:rsid w:val="2E492682"/>
    <w:rsid w:val="2E643367"/>
    <w:rsid w:val="2EFE2A1C"/>
    <w:rsid w:val="303C28DD"/>
    <w:rsid w:val="305D7761"/>
    <w:rsid w:val="31206DA7"/>
    <w:rsid w:val="3211682D"/>
    <w:rsid w:val="32740417"/>
    <w:rsid w:val="32DB6EB3"/>
    <w:rsid w:val="3400576F"/>
    <w:rsid w:val="34083CBD"/>
    <w:rsid w:val="34BE566A"/>
    <w:rsid w:val="351157F6"/>
    <w:rsid w:val="356335D0"/>
    <w:rsid w:val="359227A4"/>
    <w:rsid w:val="35C9282B"/>
    <w:rsid w:val="36FC139F"/>
    <w:rsid w:val="37935030"/>
    <w:rsid w:val="379B2428"/>
    <w:rsid w:val="37C8189D"/>
    <w:rsid w:val="389055BB"/>
    <w:rsid w:val="389C2431"/>
    <w:rsid w:val="38E225BE"/>
    <w:rsid w:val="39A10750"/>
    <w:rsid w:val="3A205B59"/>
    <w:rsid w:val="3A3D0EC2"/>
    <w:rsid w:val="3B2B5280"/>
    <w:rsid w:val="3B43748D"/>
    <w:rsid w:val="3B9911D9"/>
    <w:rsid w:val="3C204F43"/>
    <w:rsid w:val="3CD660F7"/>
    <w:rsid w:val="3D966D54"/>
    <w:rsid w:val="3DCD0B5F"/>
    <w:rsid w:val="3E1E377B"/>
    <w:rsid w:val="3E257517"/>
    <w:rsid w:val="3F29378E"/>
    <w:rsid w:val="3F34445F"/>
    <w:rsid w:val="3F941AE6"/>
    <w:rsid w:val="3FB04657"/>
    <w:rsid w:val="3FDD09DE"/>
    <w:rsid w:val="3FF868DF"/>
    <w:rsid w:val="400513F7"/>
    <w:rsid w:val="404D3939"/>
    <w:rsid w:val="406C05EE"/>
    <w:rsid w:val="406E0BBB"/>
    <w:rsid w:val="413D5E70"/>
    <w:rsid w:val="41467776"/>
    <w:rsid w:val="416429CC"/>
    <w:rsid w:val="41671463"/>
    <w:rsid w:val="41CD0B9E"/>
    <w:rsid w:val="426B4A7B"/>
    <w:rsid w:val="427E3268"/>
    <w:rsid w:val="42857CF5"/>
    <w:rsid w:val="434049BE"/>
    <w:rsid w:val="435060DB"/>
    <w:rsid w:val="435B7B1C"/>
    <w:rsid w:val="435E7D7C"/>
    <w:rsid w:val="43E15EC3"/>
    <w:rsid w:val="43F83EF0"/>
    <w:rsid w:val="442414F7"/>
    <w:rsid w:val="44947A48"/>
    <w:rsid w:val="449A7B74"/>
    <w:rsid w:val="44ED182E"/>
    <w:rsid w:val="451C456B"/>
    <w:rsid w:val="45D649C3"/>
    <w:rsid w:val="462C106C"/>
    <w:rsid w:val="466F27BA"/>
    <w:rsid w:val="469B635D"/>
    <w:rsid w:val="46DC6F13"/>
    <w:rsid w:val="46DF0829"/>
    <w:rsid w:val="46F20223"/>
    <w:rsid w:val="47980D8B"/>
    <w:rsid w:val="47C55814"/>
    <w:rsid w:val="48026826"/>
    <w:rsid w:val="48633325"/>
    <w:rsid w:val="48901B41"/>
    <w:rsid w:val="48EA5F39"/>
    <w:rsid w:val="492B6262"/>
    <w:rsid w:val="499E6F0E"/>
    <w:rsid w:val="4A070B1A"/>
    <w:rsid w:val="4B820DBA"/>
    <w:rsid w:val="4B91086A"/>
    <w:rsid w:val="4BDE3817"/>
    <w:rsid w:val="4BFD73F2"/>
    <w:rsid w:val="4D00457C"/>
    <w:rsid w:val="4D501009"/>
    <w:rsid w:val="4D631741"/>
    <w:rsid w:val="4D761058"/>
    <w:rsid w:val="4E022025"/>
    <w:rsid w:val="4E79685B"/>
    <w:rsid w:val="4EB647A3"/>
    <w:rsid w:val="4EE339B2"/>
    <w:rsid w:val="4F756FF3"/>
    <w:rsid w:val="4F7742AD"/>
    <w:rsid w:val="4FA3161C"/>
    <w:rsid w:val="4FC3578B"/>
    <w:rsid w:val="4FFE0B87"/>
    <w:rsid w:val="501D78B3"/>
    <w:rsid w:val="508A6AF6"/>
    <w:rsid w:val="51231F8D"/>
    <w:rsid w:val="51433BAF"/>
    <w:rsid w:val="514A5393"/>
    <w:rsid w:val="5168376C"/>
    <w:rsid w:val="51BE176D"/>
    <w:rsid w:val="51D44417"/>
    <w:rsid w:val="51E95F6C"/>
    <w:rsid w:val="52400575"/>
    <w:rsid w:val="52EA79A7"/>
    <w:rsid w:val="52EF6DAF"/>
    <w:rsid w:val="53315CC0"/>
    <w:rsid w:val="53816CE6"/>
    <w:rsid w:val="53D07DBD"/>
    <w:rsid w:val="53E8249C"/>
    <w:rsid w:val="53EF1896"/>
    <w:rsid w:val="53FA1CA3"/>
    <w:rsid w:val="54242A12"/>
    <w:rsid w:val="54383D0C"/>
    <w:rsid w:val="548733DA"/>
    <w:rsid w:val="55157498"/>
    <w:rsid w:val="552F11A1"/>
    <w:rsid w:val="55583B15"/>
    <w:rsid w:val="55644655"/>
    <w:rsid w:val="557B2E7B"/>
    <w:rsid w:val="56595B3D"/>
    <w:rsid w:val="567F7602"/>
    <w:rsid w:val="568C2A25"/>
    <w:rsid w:val="56B81875"/>
    <w:rsid w:val="56D53107"/>
    <w:rsid w:val="576E7A68"/>
    <w:rsid w:val="57FF2F88"/>
    <w:rsid w:val="580E0CFA"/>
    <w:rsid w:val="584A2CBF"/>
    <w:rsid w:val="58541D64"/>
    <w:rsid w:val="5878792C"/>
    <w:rsid w:val="58BD1881"/>
    <w:rsid w:val="58F12E3D"/>
    <w:rsid w:val="59787BA7"/>
    <w:rsid w:val="59F04186"/>
    <w:rsid w:val="59FD7108"/>
    <w:rsid w:val="5A3B04BB"/>
    <w:rsid w:val="5A603900"/>
    <w:rsid w:val="5A6460A3"/>
    <w:rsid w:val="5A90443A"/>
    <w:rsid w:val="5ABD696D"/>
    <w:rsid w:val="5B2556D5"/>
    <w:rsid w:val="5B3E78C2"/>
    <w:rsid w:val="5CB726D7"/>
    <w:rsid w:val="5CEC6741"/>
    <w:rsid w:val="5D0639C1"/>
    <w:rsid w:val="5D2A14CF"/>
    <w:rsid w:val="5D2F5988"/>
    <w:rsid w:val="5D854F45"/>
    <w:rsid w:val="5E052726"/>
    <w:rsid w:val="5E5F2C84"/>
    <w:rsid w:val="5E7966A8"/>
    <w:rsid w:val="5EA12D40"/>
    <w:rsid w:val="5ED01BF0"/>
    <w:rsid w:val="5F8974D3"/>
    <w:rsid w:val="60156625"/>
    <w:rsid w:val="602D5EEE"/>
    <w:rsid w:val="61DD45AA"/>
    <w:rsid w:val="61DF7E12"/>
    <w:rsid w:val="61FC278D"/>
    <w:rsid w:val="620D1289"/>
    <w:rsid w:val="621B125F"/>
    <w:rsid w:val="628C4BF5"/>
    <w:rsid w:val="62B44E4F"/>
    <w:rsid w:val="62B71680"/>
    <w:rsid w:val="62CD15BE"/>
    <w:rsid w:val="62CF59F1"/>
    <w:rsid w:val="62DA3A62"/>
    <w:rsid w:val="633D786E"/>
    <w:rsid w:val="64773FCA"/>
    <w:rsid w:val="65D61B01"/>
    <w:rsid w:val="66197048"/>
    <w:rsid w:val="663A4FD4"/>
    <w:rsid w:val="671543D0"/>
    <w:rsid w:val="68A37DD5"/>
    <w:rsid w:val="68D410CE"/>
    <w:rsid w:val="68D74DCC"/>
    <w:rsid w:val="69902C5D"/>
    <w:rsid w:val="6994281F"/>
    <w:rsid w:val="6A17095D"/>
    <w:rsid w:val="6A344AC1"/>
    <w:rsid w:val="6A3C36AF"/>
    <w:rsid w:val="6A5A0E47"/>
    <w:rsid w:val="6A815F12"/>
    <w:rsid w:val="6AD36E1B"/>
    <w:rsid w:val="6B6A799A"/>
    <w:rsid w:val="6C025801"/>
    <w:rsid w:val="6C120F39"/>
    <w:rsid w:val="6CC72D64"/>
    <w:rsid w:val="6CED0D76"/>
    <w:rsid w:val="6CED2D76"/>
    <w:rsid w:val="6D12355E"/>
    <w:rsid w:val="6D187F3F"/>
    <w:rsid w:val="6D4A2B75"/>
    <w:rsid w:val="6D5A1EC8"/>
    <w:rsid w:val="6D8F79AC"/>
    <w:rsid w:val="6DA90E51"/>
    <w:rsid w:val="6DE43599"/>
    <w:rsid w:val="6DF1222A"/>
    <w:rsid w:val="6E6E0341"/>
    <w:rsid w:val="6ED456E6"/>
    <w:rsid w:val="6ED67809"/>
    <w:rsid w:val="6F36384C"/>
    <w:rsid w:val="6F8E70D9"/>
    <w:rsid w:val="6F912BB9"/>
    <w:rsid w:val="6FDD0E86"/>
    <w:rsid w:val="705C3CE1"/>
    <w:rsid w:val="705C64F8"/>
    <w:rsid w:val="708962EF"/>
    <w:rsid w:val="70B851BA"/>
    <w:rsid w:val="712B5073"/>
    <w:rsid w:val="713A1FAE"/>
    <w:rsid w:val="717374CB"/>
    <w:rsid w:val="71DA1FEF"/>
    <w:rsid w:val="72006CD3"/>
    <w:rsid w:val="72D7167D"/>
    <w:rsid w:val="72E46749"/>
    <w:rsid w:val="731E6F12"/>
    <w:rsid w:val="732E5AC6"/>
    <w:rsid w:val="741E5A60"/>
    <w:rsid w:val="74561FB2"/>
    <w:rsid w:val="74F27C2C"/>
    <w:rsid w:val="751A53CE"/>
    <w:rsid w:val="75D511B0"/>
    <w:rsid w:val="763F3EAA"/>
    <w:rsid w:val="765976E7"/>
    <w:rsid w:val="76DE5573"/>
    <w:rsid w:val="7708462E"/>
    <w:rsid w:val="777D607A"/>
    <w:rsid w:val="77852993"/>
    <w:rsid w:val="78671FAD"/>
    <w:rsid w:val="78AD74F2"/>
    <w:rsid w:val="79EF1744"/>
    <w:rsid w:val="7A0267D7"/>
    <w:rsid w:val="7A177400"/>
    <w:rsid w:val="7A234EDA"/>
    <w:rsid w:val="7B024275"/>
    <w:rsid w:val="7B1E1D39"/>
    <w:rsid w:val="7C460A16"/>
    <w:rsid w:val="7C667EE7"/>
    <w:rsid w:val="7C683570"/>
    <w:rsid w:val="7CDB325E"/>
    <w:rsid w:val="7D180BA0"/>
    <w:rsid w:val="7DB826EF"/>
    <w:rsid w:val="7DD155DD"/>
    <w:rsid w:val="7E9374DB"/>
    <w:rsid w:val="7F4C0549"/>
    <w:rsid w:val="7F921D14"/>
    <w:rsid w:val="7FA72A29"/>
    <w:rsid w:val="7FE25C11"/>
    <w:rsid w:val="7FE55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7"/>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4">
    <w:name w:val="heading 2"/>
    <w:basedOn w:val="1"/>
    <w:next w:val="1"/>
    <w:link w:val="92"/>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link w:val="79"/>
    <w:qFormat/>
    <w:uiPriority w:val="0"/>
    <w:pPr>
      <w:keepNext/>
      <w:keepLines/>
      <w:spacing w:after="120" w:line="500" w:lineRule="exact"/>
      <w:jc w:val="left"/>
      <w:outlineLvl w:val="2"/>
    </w:pPr>
    <w:rPr>
      <w:rFonts w:ascii="宋体" w:hAnsi="宋体"/>
      <w:b/>
      <w:bCs/>
      <w:sz w:val="24"/>
      <w:szCs w:val="24"/>
    </w:rPr>
  </w:style>
  <w:style w:type="paragraph" w:styleId="6">
    <w:name w:val="heading 4"/>
    <w:basedOn w:val="1"/>
    <w:next w:val="1"/>
    <w:link w:val="91"/>
    <w:qFormat/>
    <w:uiPriority w:val="0"/>
    <w:pPr>
      <w:spacing w:before="240"/>
      <w:ind w:firstLine="425" w:firstLineChars="177"/>
      <w:jc w:val="left"/>
      <w:outlineLvl w:val="3"/>
    </w:pPr>
    <w:rPr>
      <w:rFonts w:ascii="宋体" w:hAnsi="宋体"/>
      <w:sz w:val="24"/>
      <w:szCs w:val="28"/>
    </w:rPr>
  </w:style>
  <w:style w:type="paragraph" w:styleId="7">
    <w:name w:val="heading 5"/>
    <w:basedOn w:val="1"/>
    <w:next w:val="1"/>
    <w:link w:val="99"/>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8">
    <w:name w:val="heading 6"/>
    <w:basedOn w:val="1"/>
    <w:next w:val="1"/>
    <w:link w:val="140"/>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9">
    <w:name w:val="heading 7"/>
    <w:basedOn w:val="1"/>
    <w:next w:val="1"/>
    <w:link w:val="60"/>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75"/>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5"/>
    <w:qFormat/>
    <w:uiPriority w:val="0"/>
    <w:pPr>
      <w:spacing w:after="120"/>
    </w:pPr>
    <w:rPr>
      <w:rFonts w:ascii="宋体" w:hAnsi="宋体"/>
      <w:szCs w:val="24"/>
    </w:rPr>
  </w:style>
  <w:style w:type="paragraph" w:styleId="12">
    <w:name w:val="toc 7"/>
    <w:basedOn w:val="1"/>
    <w:next w:val="1"/>
    <w:unhideWhenUsed/>
    <w:qFormat/>
    <w:uiPriority w:val="39"/>
    <w:pPr>
      <w:ind w:left="2520" w:leftChars="1200"/>
    </w:pPr>
    <w:rPr>
      <w:rFonts w:ascii="Calibri" w:hAnsi="Calibri"/>
    </w:rPr>
  </w:style>
  <w:style w:type="paragraph" w:styleId="13">
    <w:name w:val="Normal Indent"/>
    <w:basedOn w:val="1"/>
    <w:qFormat/>
    <w:uiPriority w:val="0"/>
    <w:pPr>
      <w:ind w:firstLine="420" w:firstLineChars="200"/>
    </w:pPr>
  </w:style>
  <w:style w:type="paragraph" w:styleId="14">
    <w:name w:val="caption"/>
    <w:basedOn w:val="1"/>
    <w:next w:val="1"/>
    <w:qFormat/>
    <w:uiPriority w:val="0"/>
    <w:rPr>
      <w:rFonts w:ascii="Cambria" w:hAnsi="Cambria" w:eastAsia="黑体"/>
      <w:sz w:val="20"/>
      <w:szCs w:val="20"/>
    </w:rPr>
  </w:style>
  <w:style w:type="paragraph" w:styleId="15">
    <w:name w:val="List Bullet"/>
    <w:basedOn w:val="1"/>
    <w:unhideWhenUsed/>
    <w:qFormat/>
    <w:uiPriority w:val="0"/>
    <w:pPr>
      <w:numPr>
        <w:ilvl w:val="0"/>
        <w:numId w:val="1"/>
      </w:numPr>
    </w:pPr>
  </w:style>
  <w:style w:type="paragraph" w:styleId="16">
    <w:name w:val="Document Map"/>
    <w:basedOn w:val="1"/>
    <w:link w:val="135"/>
    <w:semiHidden/>
    <w:qFormat/>
    <w:uiPriority w:val="0"/>
    <w:pPr>
      <w:shd w:val="clear" w:color="auto" w:fill="000080"/>
    </w:pPr>
    <w:rPr>
      <w:rFonts w:ascii="宋体" w:hAnsi="宋体"/>
      <w:szCs w:val="24"/>
    </w:rPr>
  </w:style>
  <w:style w:type="paragraph" w:styleId="17">
    <w:name w:val="annotation text"/>
    <w:basedOn w:val="1"/>
    <w:link w:val="52"/>
    <w:semiHidden/>
    <w:qFormat/>
    <w:uiPriority w:val="0"/>
    <w:pPr>
      <w:jc w:val="left"/>
    </w:pPr>
    <w:rPr>
      <w:szCs w:val="24"/>
    </w:rPr>
  </w:style>
  <w:style w:type="paragraph" w:styleId="18">
    <w:name w:val="Body Text 3"/>
    <w:basedOn w:val="1"/>
    <w:link w:val="98"/>
    <w:qFormat/>
    <w:uiPriority w:val="0"/>
    <w:rPr>
      <w:rFonts w:ascii="宋体"/>
      <w:sz w:val="24"/>
      <w:szCs w:val="20"/>
    </w:rPr>
  </w:style>
  <w:style w:type="paragraph" w:styleId="19">
    <w:name w:val="Body Text Indent"/>
    <w:basedOn w:val="1"/>
    <w:link w:val="131"/>
    <w:qFormat/>
    <w:uiPriority w:val="0"/>
    <w:pPr>
      <w:spacing w:after="120"/>
      <w:ind w:left="420" w:leftChars="200"/>
    </w:pPr>
    <w:rPr>
      <w:rFonts w:ascii="宋体" w:hAnsi="宋体"/>
      <w:szCs w:val="24"/>
    </w:rPr>
  </w:style>
  <w:style w:type="paragraph" w:styleId="20">
    <w:name w:val="index 4"/>
    <w:basedOn w:val="1"/>
    <w:next w:val="1"/>
    <w:unhideWhenUsed/>
    <w:qFormat/>
    <w:uiPriority w:val="0"/>
    <w:pPr>
      <w:ind w:left="600" w:leftChars="600"/>
    </w:pPr>
  </w:style>
  <w:style w:type="paragraph" w:styleId="21">
    <w:name w:val="toc 5"/>
    <w:basedOn w:val="1"/>
    <w:next w:val="1"/>
    <w:unhideWhenUsed/>
    <w:qFormat/>
    <w:uiPriority w:val="39"/>
    <w:pPr>
      <w:ind w:left="1680" w:leftChars="800"/>
    </w:pPr>
    <w:rPr>
      <w:rFonts w:ascii="Calibri" w:hAnsi="Calibri"/>
    </w:rPr>
  </w:style>
  <w:style w:type="paragraph" w:styleId="22">
    <w:name w:val="toc 3"/>
    <w:basedOn w:val="1"/>
    <w:next w:val="1"/>
    <w:qFormat/>
    <w:uiPriority w:val="39"/>
    <w:pPr>
      <w:ind w:left="840" w:leftChars="400"/>
    </w:pPr>
  </w:style>
  <w:style w:type="paragraph" w:styleId="23">
    <w:name w:val="Plain Text"/>
    <w:basedOn w:val="1"/>
    <w:link w:val="139"/>
    <w:qFormat/>
    <w:uiPriority w:val="0"/>
    <w:pPr>
      <w:spacing w:line="305" w:lineRule="auto"/>
      <w:ind w:firstLine="420"/>
    </w:pPr>
    <w:rPr>
      <w:rFonts w:ascii="宋体" w:hAnsi="Courier New" w:cs="Courier New"/>
      <w:szCs w:val="21"/>
    </w:rPr>
  </w:style>
  <w:style w:type="paragraph" w:styleId="24">
    <w:name w:val="toc 8"/>
    <w:basedOn w:val="1"/>
    <w:next w:val="1"/>
    <w:unhideWhenUsed/>
    <w:qFormat/>
    <w:uiPriority w:val="39"/>
    <w:pPr>
      <w:ind w:left="2940" w:leftChars="1400"/>
    </w:pPr>
    <w:rPr>
      <w:rFonts w:ascii="Calibri" w:hAnsi="Calibri"/>
    </w:rPr>
  </w:style>
  <w:style w:type="paragraph" w:styleId="25">
    <w:name w:val="Date"/>
    <w:basedOn w:val="1"/>
    <w:next w:val="1"/>
    <w:link w:val="124"/>
    <w:qFormat/>
    <w:uiPriority w:val="0"/>
    <w:pPr>
      <w:ind w:left="100" w:leftChars="2500"/>
    </w:pPr>
    <w:rPr>
      <w:rFonts w:ascii="宋体" w:hAnsi="宋体"/>
      <w:szCs w:val="24"/>
    </w:rPr>
  </w:style>
  <w:style w:type="paragraph" w:styleId="26">
    <w:name w:val="Body Text Indent 2"/>
    <w:basedOn w:val="1"/>
    <w:link w:val="123"/>
    <w:qFormat/>
    <w:uiPriority w:val="0"/>
    <w:pPr>
      <w:spacing w:line="305" w:lineRule="auto"/>
      <w:ind w:left="420" w:hanging="420" w:hangingChars="200"/>
    </w:pPr>
    <w:rPr>
      <w:rFonts w:ascii="宋体" w:hAnsi="宋体"/>
      <w:kern w:val="0"/>
      <w:szCs w:val="20"/>
    </w:rPr>
  </w:style>
  <w:style w:type="paragraph" w:styleId="27">
    <w:name w:val="Balloon Text"/>
    <w:basedOn w:val="1"/>
    <w:link w:val="77"/>
    <w:semiHidden/>
    <w:qFormat/>
    <w:uiPriority w:val="0"/>
    <w:rPr>
      <w:rFonts w:ascii="宋体" w:hAnsi="宋体"/>
      <w:sz w:val="18"/>
      <w:szCs w:val="18"/>
    </w:rPr>
  </w:style>
  <w:style w:type="paragraph" w:styleId="28">
    <w:name w:val="footer"/>
    <w:basedOn w:val="1"/>
    <w:link w:val="122"/>
    <w:qFormat/>
    <w:uiPriority w:val="99"/>
    <w:pPr>
      <w:tabs>
        <w:tab w:val="center" w:pos="4153"/>
        <w:tab w:val="right" w:pos="8306"/>
      </w:tabs>
      <w:snapToGrid w:val="0"/>
      <w:jc w:val="left"/>
    </w:pPr>
    <w:rPr>
      <w:sz w:val="18"/>
      <w:szCs w:val="18"/>
    </w:rPr>
  </w:style>
  <w:style w:type="paragraph" w:styleId="29">
    <w:name w:val="header"/>
    <w:basedOn w:val="1"/>
    <w:link w:val="13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qFormat/>
    <w:uiPriority w:val="39"/>
    <w:pPr>
      <w:tabs>
        <w:tab w:val="right" w:leader="dot" w:pos="8296"/>
      </w:tabs>
      <w:ind w:left="2" w:leftChars="1"/>
    </w:pPr>
    <w:rPr>
      <w:b/>
      <w:sz w:val="24"/>
      <w:szCs w:val="20"/>
    </w:rPr>
  </w:style>
  <w:style w:type="paragraph" w:styleId="31">
    <w:name w:val="toc 4"/>
    <w:basedOn w:val="1"/>
    <w:next w:val="1"/>
    <w:unhideWhenUsed/>
    <w:qFormat/>
    <w:uiPriority w:val="39"/>
    <w:pPr>
      <w:ind w:left="1260" w:leftChars="600"/>
    </w:pPr>
    <w:rPr>
      <w:rFonts w:ascii="Calibri" w:hAnsi="Calibri"/>
    </w:rPr>
  </w:style>
  <w:style w:type="paragraph" w:styleId="32">
    <w:name w:val="Subtitle"/>
    <w:basedOn w:val="1"/>
    <w:next w:val="1"/>
    <w:link w:val="90"/>
    <w:qFormat/>
    <w:uiPriority w:val="0"/>
    <w:pPr>
      <w:spacing w:before="240" w:after="60" w:line="312" w:lineRule="auto"/>
      <w:jc w:val="center"/>
      <w:outlineLvl w:val="1"/>
    </w:pPr>
    <w:rPr>
      <w:rFonts w:ascii="Cambria" w:hAnsi="Cambria" w:eastAsia="华文楷体"/>
      <w:b/>
      <w:bCs/>
      <w:kern w:val="28"/>
      <w:sz w:val="32"/>
      <w:szCs w:val="32"/>
    </w:rPr>
  </w:style>
  <w:style w:type="paragraph" w:styleId="33">
    <w:name w:val="toc 6"/>
    <w:basedOn w:val="1"/>
    <w:next w:val="1"/>
    <w:unhideWhenUsed/>
    <w:qFormat/>
    <w:uiPriority w:val="39"/>
    <w:pPr>
      <w:ind w:left="2100" w:leftChars="1000"/>
    </w:pPr>
    <w:rPr>
      <w:rFonts w:ascii="Calibri" w:hAnsi="Calibri"/>
    </w:rPr>
  </w:style>
  <w:style w:type="paragraph" w:styleId="34">
    <w:name w:val="Body Text Indent 3"/>
    <w:basedOn w:val="1"/>
    <w:link w:val="136"/>
    <w:qFormat/>
    <w:uiPriority w:val="0"/>
    <w:pPr>
      <w:spacing w:after="120"/>
      <w:ind w:left="420" w:leftChars="200"/>
    </w:pPr>
    <w:rPr>
      <w:sz w:val="16"/>
      <w:szCs w:val="16"/>
    </w:rPr>
  </w:style>
  <w:style w:type="paragraph" w:styleId="35">
    <w:name w:val="toc 2"/>
    <w:basedOn w:val="1"/>
    <w:next w:val="1"/>
    <w:qFormat/>
    <w:uiPriority w:val="39"/>
    <w:pPr>
      <w:tabs>
        <w:tab w:val="right" w:leader="dot" w:pos="8296"/>
      </w:tabs>
      <w:ind w:left="200" w:leftChars="200"/>
    </w:pPr>
    <w:rPr>
      <w:sz w:val="24"/>
    </w:rPr>
  </w:style>
  <w:style w:type="paragraph" w:styleId="36">
    <w:name w:val="toc 9"/>
    <w:basedOn w:val="1"/>
    <w:next w:val="1"/>
    <w:unhideWhenUsed/>
    <w:qFormat/>
    <w:uiPriority w:val="39"/>
    <w:pPr>
      <w:ind w:left="3360" w:leftChars="1600"/>
    </w:pPr>
    <w:rPr>
      <w:rFonts w:ascii="Calibri" w:hAnsi="Calibri"/>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index 1"/>
    <w:basedOn w:val="1"/>
    <w:next w:val="1"/>
    <w:semiHidden/>
    <w:qFormat/>
    <w:uiPriority w:val="0"/>
    <w:pPr>
      <w:spacing w:line="220" w:lineRule="exact"/>
      <w:jc w:val="center"/>
    </w:pPr>
    <w:rPr>
      <w:rFonts w:ascii="仿宋_GB2312" w:eastAsia="仿宋_GB2312"/>
      <w:szCs w:val="21"/>
    </w:rPr>
  </w:style>
  <w:style w:type="paragraph" w:styleId="39">
    <w:name w:val="Title"/>
    <w:basedOn w:val="1"/>
    <w:link w:val="14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7"/>
    <w:next w:val="17"/>
    <w:link w:val="70"/>
    <w:semiHidden/>
    <w:qFormat/>
    <w:uiPriority w:val="0"/>
    <w:rPr>
      <w:rFonts w:ascii="宋体" w:hAnsi="宋体"/>
      <w:b/>
      <w:bCs/>
    </w:rPr>
  </w:style>
  <w:style w:type="paragraph" w:styleId="41">
    <w:name w:val="Body Text First Indent"/>
    <w:basedOn w:val="2"/>
    <w:qFormat/>
    <w:uiPriority w:val="0"/>
    <w:pPr>
      <w:ind w:firstLine="420" w:firstLineChars="1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Hyperlink"/>
    <w:qFormat/>
    <w:uiPriority w:val="99"/>
    <w:rPr>
      <w:color w:val="333333"/>
      <w:u w:val="none"/>
    </w:rPr>
  </w:style>
  <w:style w:type="character" w:styleId="48">
    <w:name w:val="annotation reference"/>
    <w:semiHidden/>
    <w:qFormat/>
    <w:uiPriority w:val="0"/>
    <w:rPr>
      <w:sz w:val="21"/>
      <w:szCs w:val="21"/>
    </w:rPr>
  </w:style>
  <w:style w:type="character" w:customStyle="1" w:styleId="49">
    <w:name w:val="访问过的超链接1"/>
    <w:qFormat/>
    <w:uiPriority w:val="99"/>
    <w:rPr>
      <w:color w:val="333333"/>
      <w:u w:val="none"/>
    </w:rPr>
  </w:style>
  <w:style w:type="character" w:customStyle="1" w:styleId="50">
    <w:name w:val="引用 Char1"/>
    <w:qFormat/>
    <w:uiPriority w:val="29"/>
    <w:rPr>
      <w:i/>
      <w:iCs/>
      <w:color w:val="000000"/>
      <w:kern w:val="2"/>
      <w:sz w:val="21"/>
      <w:szCs w:val="22"/>
    </w:rPr>
  </w:style>
  <w:style w:type="character" w:customStyle="1" w:styleId="51">
    <w:name w:val="明显引用 Char1"/>
    <w:qFormat/>
    <w:uiPriority w:val="30"/>
    <w:rPr>
      <w:b/>
      <w:bCs/>
      <w:i/>
      <w:iCs/>
      <w:color w:val="4F81BD"/>
      <w:kern w:val="2"/>
      <w:sz w:val="21"/>
      <w:szCs w:val="22"/>
    </w:rPr>
  </w:style>
  <w:style w:type="character" w:customStyle="1" w:styleId="52">
    <w:name w:val="批注文字 Char"/>
    <w:link w:val="17"/>
    <w:qFormat/>
    <w:uiPriority w:val="0"/>
    <w:rPr>
      <w:rFonts w:eastAsia="宋体"/>
      <w:kern w:val="2"/>
      <w:sz w:val="21"/>
      <w:szCs w:val="24"/>
      <w:lang w:val="en-US" w:eastAsia="zh-CN" w:bidi="ar-SA"/>
    </w:rPr>
  </w:style>
  <w:style w:type="character" w:customStyle="1" w:styleId="53">
    <w:name w:val="Char Char4"/>
    <w:semiHidden/>
    <w:qFormat/>
    <w:uiPriority w:val="0"/>
    <w:rPr>
      <w:kern w:val="2"/>
      <w:sz w:val="21"/>
      <w:szCs w:val="24"/>
    </w:rPr>
  </w:style>
  <w:style w:type="character" w:customStyle="1" w:styleId="54">
    <w:name w:val="批注框文本 Char_0"/>
    <w:link w:val="55"/>
    <w:semiHidden/>
    <w:qFormat/>
    <w:uiPriority w:val="0"/>
    <w:rPr>
      <w:rFonts w:ascii="宋体" w:hAnsi="宋体"/>
      <w:kern w:val="2"/>
      <w:sz w:val="18"/>
      <w:szCs w:val="18"/>
      <w:lang w:val="en-US" w:eastAsia="zh-CN"/>
    </w:rPr>
  </w:style>
  <w:style w:type="paragraph" w:customStyle="1" w:styleId="55">
    <w:name w:val="批注框文本_0"/>
    <w:basedOn w:val="56"/>
    <w:link w:val="54"/>
    <w:semiHidden/>
    <w:qFormat/>
    <w:uiPriority w:val="0"/>
    <w:pPr>
      <w:widowControl/>
      <w:jc w:val="left"/>
    </w:pPr>
    <w:rPr>
      <w:rFonts w:ascii="宋体" w:hAnsi="宋体"/>
      <w:sz w:val="18"/>
      <w:szCs w:val="18"/>
    </w:rPr>
  </w:style>
  <w:style w:type="paragraph" w:customStyle="1" w:styleId="56">
    <w:name w:val="正文_0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7">
    <w:name w:val="标题 2 Char_3"/>
    <w:link w:val="58"/>
    <w:qFormat/>
    <w:uiPriority w:val="0"/>
    <w:rPr>
      <w:rFonts w:ascii="Calibri" w:hAnsi="Calibri"/>
      <w:b/>
      <w:bCs/>
      <w:kern w:val="2"/>
      <w:sz w:val="28"/>
      <w:szCs w:val="28"/>
      <w:lang w:val="en-US" w:eastAsia="zh-CN"/>
    </w:rPr>
  </w:style>
  <w:style w:type="paragraph" w:customStyle="1" w:styleId="58">
    <w:name w:val="标题 2_3"/>
    <w:basedOn w:val="56"/>
    <w:next w:val="56"/>
    <w:link w:val="57"/>
    <w:qFormat/>
    <w:uiPriority w:val="0"/>
    <w:pPr>
      <w:widowControl/>
      <w:spacing w:line="600" w:lineRule="exact"/>
      <w:contextualSpacing/>
      <w:jc w:val="center"/>
      <w:outlineLvl w:val="1"/>
    </w:pPr>
    <w:rPr>
      <w:rFonts w:ascii="Calibri" w:hAnsi="Calibri"/>
      <w:b/>
      <w:bCs/>
      <w:sz w:val="28"/>
      <w:szCs w:val="28"/>
    </w:rPr>
  </w:style>
  <w:style w:type="character" w:customStyle="1" w:styleId="59">
    <w:name w:val="正文文本缩进 2 Char1"/>
    <w:semiHidden/>
    <w:qFormat/>
    <w:uiPriority w:val="99"/>
    <w:rPr>
      <w:rFonts w:hint="default" w:ascii="Times New Roman" w:hAnsi="Times New Roman" w:eastAsia="宋体" w:cs="Times New Roman"/>
      <w:szCs w:val="24"/>
    </w:rPr>
  </w:style>
  <w:style w:type="character" w:customStyle="1" w:styleId="60">
    <w:name w:val="标题 7 Char"/>
    <w:link w:val="9"/>
    <w:qFormat/>
    <w:uiPriority w:val="0"/>
    <w:rPr>
      <w:rFonts w:ascii="宋体" w:hAnsi="宋体"/>
      <w:b/>
      <w:bCs/>
      <w:sz w:val="24"/>
      <w:szCs w:val="24"/>
    </w:rPr>
  </w:style>
  <w:style w:type="character" w:customStyle="1" w:styleId="61">
    <w:name w:val="纯文本 Char"/>
    <w:qFormat/>
    <w:uiPriority w:val="0"/>
    <w:rPr>
      <w:rFonts w:ascii="宋体" w:hAnsi="Courier New" w:eastAsia="宋体" w:cs="Courier New"/>
      <w:kern w:val="2"/>
      <w:sz w:val="21"/>
      <w:szCs w:val="21"/>
      <w:lang w:val="en-US" w:eastAsia="zh-CN" w:bidi="ar-SA"/>
    </w:rPr>
  </w:style>
  <w:style w:type="character" w:customStyle="1" w:styleId="62">
    <w:name w:val="标题 4 Char_0"/>
    <w:link w:val="63"/>
    <w:qFormat/>
    <w:uiPriority w:val="9"/>
    <w:rPr>
      <w:rFonts w:ascii="Cambria" w:hAnsi="Cambria"/>
      <w:b/>
      <w:bCs/>
      <w:kern w:val="2"/>
      <w:sz w:val="28"/>
      <w:szCs w:val="28"/>
    </w:rPr>
  </w:style>
  <w:style w:type="paragraph" w:customStyle="1" w:styleId="63">
    <w:name w:val="标题 4_0"/>
    <w:basedOn w:val="64"/>
    <w:next w:val="64"/>
    <w:link w:val="62"/>
    <w:unhideWhenUsed/>
    <w:qFormat/>
    <w:uiPriority w:val="9"/>
    <w:pPr>
      <w:keepNext/>
      <w:keepLines/>
      <w:spacing w:before="280" w:after="290" w:line="376" w:lineRule="auto"/>
      <w:outlineLvl w:val="3"/>
    </w:pPr>
    <w:rPr>
      <w:rFonts w:ascii="Cambria" w:hAnsi="Cambria"/>
      <w:b/>
      <w:bCs/>
      <w:sz w:val="28"/>
      <w:szCs w:val="28"/>
    </w:rPr>
  </w:style>
  <w:style w:type="paragraph" w:customStyle="1" w:styleId="6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明显引用 Char"/>
    <w:link w:val="66"/>
    <w:qFormat/>
    <w:uiPriority w:val="0"/>
    <w:rPr>
      <w:rFonts w:ascii="Calibri" w:hAnsi="Calibri"/>
      <w:b/>
      <w:bCs/>
      <w:i/>
      <w:iCs/>
      <w:color w:val="4F81BD"/>
      <w:kern w:val="2"/>
      <w:sz w:val="21"/>
      <w:szCs w:val="22"/>
    </w:rPr>
  </w:style>
  <w:style w:type="paragraph" w:styleId="66">
    <w:name w:val="Intense Quote"/>
    <w:basedOn w:val="1"/>
    <w:next w:val="1"/>
    <w:link w:val="65"/>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67">
    <w:name w:val="标题 3 Char_1_0"/>
    <w:link w:val="68"/>
    <w:qFormat/>
    <w:uiPriority w:val="0"/>
    <w:rPr>
      <w:rFonts w:ascii="Calibri" w:hAnsi="Calibri"/>
      <w:b/>
      <w:bCs/>
      <w:kern w:val="2"/>
      <w:sz w:val="24"/>
      <w:szCs w:val="22"/>
      <w:lang w:val="en-US" w:eastAsia="zh-CN"/>
    </w:rPr>
  </w:style>
  <w:style w:type="paragraph" w:customStyle="1" w:styleId="68">
    <w:name w:val="标题 3_1_0"/>
    <w:basedOn w:val="69"/>
    <w:next w:val="69"/>
    <w:link w:val="67"/>
    <w:qFormat/>
    <w:uiPriority w:val="0"/>
    <w:pPr>
      <w:keepNext/>
      <w:keepLines/>
      <w:widowControl/>
      <w:spacing w:after="120" w:line="500" w:lineRule="exact"/>
      <w:jc w:val="left"/>
      <w:outlineLvl w:val="2"/>
    </w:pPr>
    <w:rPr>
      <w:rFonts w:ascii="Calibri" w:hAnsi="Calibri"/>
      <w:b/>
      <w:bCs/>
      <w:sz w:val="24"/>
    </w:rPr>
  </w:style>
  <w:style w:type="paragraph" w:customStyle="1" w:styleId="69">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批注主题 Char"/>
    <w:link w:val="40"/>
    <w:semiHidden/>
    <w:qFormat/>
    <w:uiPriority w:val="0"/>
    <w:rPr>
      <w:rFonts w:ascii="宋体" w:hAnsi="宋体"/>
      <w:b/>
      <w:bCs/>
      <w:kern w:val="2"/>
      <w:sz w:val="21"/>
      <w:szCs w:val="24"/>
    </w:rPr>
  </w:style>
  <w:style w:type="character" w:customStyle="1" w:styleId="71">
    <w:name w:val="批注框文本 Char1"/>
    <w:qFormat/>
    <w:uiPriority w:val="0"/>
    <w:rPr>
      <w:kern w:val="2"/>
      <w:sz w:val="18"/>
      <w:szCs w:val="18"/>
    </w:rPr>
  </w:style>
  <w:style w:type="character" w:customStyle="1" w:styleId="72">
    <w:name w:val="标题 3 Char_0_0"/>
    <w:link w:val="73"/>
    <w:qFormat/>
    <w:uiPriority w:val="0"/>
    <w:rPr>
      <w:rFonts w:ascii="Calibri" w:hAnsi="Calibri"/>
      <w:b/>
      <w:bCs/>
      <w:kern w:val="2"/>
      <w:sz w:val="24"/>
      <w:szCs w:val="22"/>
      <w:lang w:val="en-US" w:eastAsia="zh-CN"/>
    </w:rPr>
  </w:style>
  <w:style w:type="paragraph" w:customStyle="1" w:styleId="73">
    <w:name w:val="标题 3_0_0"/>
    <w:basedOn w:val="74"/>
    <w:next w:val="74"/>
    <w:link w:val="72"/>
    <w:qFormat/>
    <w:uiPriority w:val="0"/>
    <w:pPr>
      <w:keepNext/>
      <w:keepLines/>
      <w:widowControl/>
      <w:spacing w:after="120" w:line="500" w:lineRule="exact"/>
      <w:jc w:val="left"/>
      <w:outlineLvl w:val="2"/>
    </w:pPr>
    <w:rPr>
      <w:rFonts w:ascii="Calibri" w:hAnsi="Calibri"/>
      <w:b/>
      <w:bCs/>
      <w:sz w:val="24"/>
    </w:rPr>
  </w:style>
  <w:style w:type="paragraph" w:customStyle="1" w:styleId="74">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5">
    <w:name w:val="标题 9 Char"/>
    <w:link w:val="11"/>
    <w:qFormat/>
    <w:uiPriority w:val="0"/>
    <w:rPr>
      <w:rFonts w:ascii="Arial" w:hAnsi="Arial" w:eastAsia="黑体"/>
      <w:sz w:val="21"/>
      <w:szCs w:val="21"/>
    </w:rPr>
  </w:style>
  <w:style w:type="character" w:customStyle="1" w:styleId="76">
    <w:name w:val="书籍标题1"/>
    <w:qFormat/>
    <w:uiPriority w:val="0"/>
    <w:rPr>
      <w:b/>
      <w:bCs/>
      <w:smallCaps/>
      <w:spacing w:val="5"/>
    </w:rPr>
  </w:style>
  <w:style w:type="character" w:customStyle="1" w:styleId="77">
    <w:name w:val="批注框文本 Char"/>
    <w:link w:val="27"/>
    <w:semiHidden/>
    <w:qFormat/>
    <w:uiPriority w:val="0"/>
    <w:rPr>
      <w:rFonts w:ascii="宋体" w:hAnsi="宋体"/>
      <w:kern w:val="2"/>
      <w:sz w:val="18"/>
      <w:szCs w:val="18"/>
    </w:rPr>
  </w:style>
  <w:style w:type="character" w:customStyle="1" w:styleId="78">
    <w:name w:val="标题 Char1"/>
    <w:qFormat/>
    <w:uiPriority w:val="10"/>
    <w:rPr>
      <w:rFonts w:hint="default" w:ascii="Cambria" w:hAnsi="Cambria" w:cs="Times New Roman"/>
      <w:b/>
      <w:bCs/>
      <w:kern w:val="2"/>
      <w:sz w:val="32"/>
      <w:szCs w:val="32"/>
    </w:rPr>
  </w:style>
  <w:style w:type="character" w:customStyle="1" w:styleId="79">
    <w:name w:val="标题 3 Char"/>
    <w:link w:val="5"/>
    <w:qFormat/>
    <w:uiPriority w:val="0"/>
    <w:rPr>
      <w:rFonts w:ascii="宋体" w:hAnsi="宋体"/>
      <w:b/>
      <w:bCs/>
      <w:kern w:val="2"/>
      <w:sz w:val="24"/>
      <w:szCs w:val="24"/>
    </w:rPr>
  </w:style>
  <w:style w:type="character" w:customStyle="1" w:styleId="80">
    <w:name w:val="明显强调1"/>
    <w:qFormat/>
    <w:uiPriority w:val="0"/>
    <w:rPr>
      <w:rFonts w:eastAsia="仿宋_GB2312"/>
      <w:bCs/>
      <w:iCs/>
      <w:color w:val="auto"/>
      <w:sz w:val="32"/>
    </w:rPr>
  </w:style>
  <w:style w:type="character" w:customStyle="1" w:styleId="81">
    <w:name w:val="页眉 Char1"/>
    <w:semiHidden/>
    <w:qFormat/>
    <w:uiPriority w:val="99"/>
    <w:rPr>
      <w:kern w:val="2"/>
      <w:sz w:val="18"/>
      <w:szCs w:val="18"/>
    </w:rPr>
  </w:style>
  <w:style w:type="character" w:customStyle="1" w:styleId="82">
    <w:name w:val="标题 3 Char_0"/>
    <w:link w:val="83"/>
    <w:qFormat/>
    <w:uiPriority w:val="0"/>
    <w:rPr>
      <w:rFonts w:ascii="Calibri" w:hAnsi="Calibri"/>
      <w:b/>
      <w:bCs/>
      <w:kern w:val="2"/>
      <w:sz w:val="32"/>
      <w:szCs w:val="32"/>
    </w:rPr>
  </w:style>
  <w:style w:type="paragraph" w:customStyle="1" w:styleId="83">
    <w:name w:val="标题 3_1"/>
    <w:basedOn w:val="84"/>
    <w:next w:val="84"/>
    <w:link w:val="82"/>
    <w:unhideWhenUsed/>
    <w:qFormat/>
    <w:uiPriority w:val="0"/>
    <w:pPr>
      <w:keepNext/>
      <w:keepLines/>
      <w:spacing w:before="260" w:after="260" w:line="416" w:lineRule="auto"/>
      <w:outlineLvl w:val="2"/>
    </w:pPr>
    <w:rPr>
      <w:rFonts w:ascii="Calibri" w:hAnsi="Calibri"/>
      <w:b/>
      <w:bCs/>
      <w:sz w:val="32"/>
      <w:szCs w:val="32"/>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日期 Char2"/>
    <w:semiHidden/>
    <w:qFormat/>
    <w:uiPriority w:val="99"/>
    <w:rPr>
      <w:kern w:val="2"/>
      <w:sz w:val="21"/>
      <w:szCs w:val="22"/>
    </w:rPr>
  </w:style>
  <w:style w:type="character" w:customStyle="1" w:styleId="86">
    <w:name w:val="标题 3 Char_1"/>
    <w:qFormat/>
    <w:uiPriority w:val="0"/>
    <w:rPr>
      <w:rFonts w:ascii="Calibri" w:hAnsi="Calibri" w:eastAsia="宋体" w:cs="Times New Roman"/>
      <w:b/>
      <w:bCs/>
      <w:sz w:val="24"/>
    </w:rPr>
  </w:style>
  <w:style w:type="character" w:customStyle="1" w:styleId="87">
    <w:name w:val="标题 1 Char"/>
    <w:link w:val="3"/>
    <w:qFormat/>
    <w:uiPriority w:val="0"/>
    <w:rPr>
      <w:rFonts w:ascii="宋体" w:hAnsi="宋体" w:eastAsia="宋体"/>
      <w:b/>
      <w:snapToGrid/>
      <w:sz w:val="36"/>
      <w:szCs w:val="44"/>
    </w:rPr>
  </w:style>
  <w:style w:type="character" w:customStyle="1" w:styleId="88">
    <w:name w:val="引用 Char2"/>
    <w:qFormat/>
    <w:uiPriority w:val="29"/>
    <w:rPr>
      <w:i/>
      <w:iCs/>
      <w:color w:val="000000"/>
      <w:kern w:val="2"/>
      <w:sz w:val="21"/>
      <w:szCs w:val="22"/>
    </w:rPr>
  </w:style>
  <w:style w:type="character" w:customStyle="1" w:styleId="89">
    <w:name w:val="批注文字 Char1"/>
    <w:semiHidden/>
    <w:qFormat/>
    <w:uiPriority w:val="99"/>
    <w:rPr>
      <w:kern w:val="2"/>
      <w:sz w:val="21"/>
      <w:szCs w:val="22"/>
    </w:rPr>
  </w:style>
  <w:style w:type="character" w:customStyle="1" w:styleId="90">
    <w:name w:val="副标题 Char"/>
    <w:link w:val="32"/>
    <w:qFormat/>
    <w:uiPriority w:val="0"/>
    <w:rPr>
      <w:rFonts w:ascii="Cambria" w:hAnsi="Cambria" w:eastAsia="华文楷体"/>
      <w:b/>
      <w:bCs/>
      <w:kern w:val="28"/>
      <w:sz w:val="32"/>
      <w:szCs w:val="32"/>
      <w:lang w:bidi="ar-SA"/>
    </w:rPr>
  </w:style>
  <w:style w:type="character" w:customStyle="1" w:styleId="91">
    <w:name w:val="标题 4 Char"/>
    <w:link w:val="6"/>
    <w:qFormat/>
    <w:uiPriority w:val="0"/>
    <w:rPr>
      <w:rFonts w:ascii="宋体" w:hAnsi="宋体"/>
      <w:kern w:val="2"/>
      <w:sz w:val="24"/>
      <w:szCs w:val="28"/>
    </w:rPr>
  </w:style>
  <w:style w:type="character" w:customStyle="1" w:styleId="92">
    <w:name w:val="标题 2 Char"/>
    <w:link w:val="4"/>
    <w:qFormat/>
    <w:uiPriority w:val="0"/>
    <w:rPr>
      <w:rFonts w:ascii="宋体" w:hAnsi="宋体"/>
      <w:b/>
      <w:bCs/>
      <w:kern w:val="2"/>
      <w:sz w:val="28"/>
      <w:szCs w:val="28"/>
    </w:rPr>
  </w:style>
  <w:style w:type="character" w:customStyle="1" w:styleId="93">
    <w:name w:val="批注主题 Char2"/>
    <w:semiHidden/>
    <w:qFormat/>
    <w:uiPriority w:val="99"/>
    <w:rPr>
      <w:b/>
      <w:bCs/>
      <w:kern w:val="2"/>
      <w:sz w:val="21"/>
      <w:szCs w:val="22"/>
    </w:rPr>
  </w:style>
  <w:style w:type="character" w:customStyle="1" w:styleId="94">
    <w:name w:val="标题 2 Char_0_0"/>
    <w:link w:val="95"/>
    <w:qFormat/>
    <w:uiPriority w:val="0"/>
    <w:rPr>
      <w:rFonts w:ascii="Calibri" w:hAnsi="Calibri"/>
      <w:b/>
      <w:bCs/>
      <w:kern w:val="2"/>
      <w:sz w:val="28"/>
      <w:szCs w:val="28"/>
      <w:lang w:val="en-US" w:eastAsia="zh-CN"/>
    </w:rPr>
  </w:style>
  <w:style w:type="paragraph" w:customStyle="1" w:styleId="95">
    <w:name w:val="标题 2_0_0"/>
    <w:basedOn w:val="96"/>
    <w:next w:val="97"/>
    <w:link w:val="94"/>
    <w:qFormat/>
    <w:uiPriority w:val="0"/>
    <w:pPr>
      <w:widowControl/>
      <w:spacing w:line="600" w:lineRule="exact"/>
      <w:contextualSpacing/>
      <w:jc w:val="center"/>
      <w:outlineLvl w:val="1"/>
    </w:pPr>
    <w:rPr>
      <w:rFonts w:ascii="Calibri" w:hAnsi="Calibri"/>
      <w:b/>
      <w:bCs/>
      <w:sz w:val="28"/>
      <w:szCs w:val="28"/>
    </w:rPr>
  </w:style>
  <w:style w:type="paragraph" w:customStyle="1" w:styleId="9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缩进_0_0"/>
    <w:basedOn w:val="96"/>
    <w:unhideWhenUsed/>
    <w:qFormat/>
    <w:uiPriority w:val="99"/>
    <w:pPr>
      <w:ind w:firstLine="420"/>
    </w:pPr>
    <w:rPr>
      <w:rFonts w:ascii="Calibri" w:hAnsi="Calibri"/>
    </w:rPr>
  </w:style>
  <w:style w:type="character" w:customStyle="1" w:styleId="98">
    <w:name w:val="正文文本 3 Char"/>
    <w:link w:val="18"/>
    <w:qFormat/>
    <w:uiPriority w:val="0"/>
    <w:rPr>
      <w:rFonts w:ascii="宋体" w:eastAsia="宋体"/>
      <w:kern w:val="2"/>
      <w:sz w:val="24"/>
      <w:lang w:val="en-US" w:eastAsia="zh-CN" w:bidi="ar-SA"/>
    </w:rPr>
  </w:style>
  <w:style w:type="character" w:customStyle="1" w:styleId="99">
    <w:name w:val="标题 5 Char"/>
    <w:link w:val="7"/>
    <w:qFormat/>
    <w:uiPriority w:val="0"/>
    <w:rPr>
      <w:b/>
      <w:bCs/>
      <w:sz w:val="28"/>
      <w:szCs w:val="28"/>
    </w:rPr>
  </w:style>
  <w:style w:type="character" w:customStyle="1" w:styleId="100">
    <w:name w:val="不明显参考1"/>
    <w:qFormat/>
    <w:uiPriority w:val="0"/>
    <w:rPr>
      <w:smallCaps/>
      <w:color w:val="C0504D"/>
      <w:u w:val="single"/>
    </w:rPr>
  </w:style>
  <w:style w:type="character" w:customStyle="1" w:styleId="101">
    <w:name w:val="textcontents"/>
    <w:qFormat/>
    <w:uiPriority w:val="0"/>
    <w:rPr>
      <w:rFonts w:hint="default" w:ascii="Times New Roman" w:hAnsi="Times New Roman" w:cs="Times New Roman"/>
    </w:rPr>
  </w:style>
  <w:style w:type="character" w:customStyle="1" w:styleId="102">
    <w:name w:val="批注主题 Char1"/>
    <w:qFormat/>
    <w:uiPriority w:val="0"/>
    <w:rPr>
      <w:rFonts w:hint="default" w:ascii="Times New Roman" w:hAnsi="Times New Roman" w:eastAsia="宋体" w:cs="Times New Roman"/>
      <w:b/>
      <w:bCs/>
      <w:szCs w:val="24"/>
    </w:rPr>
  </w:style>
  <w:style w:type="character" w:customStyle="1" w:styleId="103">
    <w:name w:val="正文文本缩进 字符"/>
    <w:link w:val="104"/>
    <w:qFormat/>
    <w:uiPriority w:val="0"/>
    <w:rPr>
      <w:kern w:val="2"/>
      <w:sz w:val="21"/>
      <w:szCs w:val="24"/>
      <w:lang w:val="en-US" w:eastAsia="zh-CN"/>
    </w:rPr>
  </w:style>
  <w:style w:type="paragraph" w:customStyle="1" w:styleId="104">
    <w:name w:val="正文文本缩进_0"/>
    <w:basedOn w:val="105"/>
    <w:link w:val="103"/>
    <w:qFormat/>
    <w:uiPriority w:val="0"/>
    <w:pPr>
      <w:spacing w:after="120"/>
      <w:ind w:left="420" w:leftChars="200"/>
    </w:pPr>
    <w:rPr>
      <w:kern w:val="2"/>
      <w:sz w:val="21"/>
      <w:szCs w:val="24"/>
    </w:rPr>
  </w:style>
  <w:style w:type="paragraph" w:customStyle="1" w:styleId="105">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06">
    <w:name w:val="批注框文本 Char2"/>
    <w:semiHidden/>
    <w:qFormat/>
    <w:uiPriority w:val="99"/>
    <w:rPr>
      <w:kern w:val="2"/>
      <w:sz w:val="18"/>
      <w:szCs w:val="18"/>
    </w:rPr>
  </w:style>
  <w:style w:type="character" w:customStyle="1" w:styleId="107">
    <w:name w:val="正文文本 Char1"/>
    <w:qFormat/>
    <w:uiPriority w:val="0"/>
    <w:rPr>
      <w:kern w:val="2"/>
      <w:sz w:val="21"/>
      <w:szCs w:val="22"/>
    </w:rPr>
  </w:style>
  <w:style w:type="character" w:customStyle="1" w:styleId="108">
    <w:name w:val="标题4 Char Char"/>
    <w:link w:val="109"/>
    <w:semiHidden/>
    <w:qFormat/>
    <w:locked/>
    <w:uiPriority w:val="0"/>
    <w:rPr>
      <w:rFonts w:ascii="Arial" w:hAnsi="Arial" w:cs="Arial"/>
      <w:b/>
      <w:bCs/>
      <w:sz w:val="24"/>
      <w:szCs w:val="32"/>
    </w:rPr>
  </w:style>
  <w:style w:type="paragraph" w:customStyle="1" w:styleId="109">
    <w:name w:val="标题4"/>
    <w:basedOn w:val="4"/>
    <w:next w:val="20"/>
    <w:link w:val="108"/>
    <w:semiHidden/>
    <w:qFormat/>
    <w:uiPriority w:val="0"/>
    <w:pPr>
      <w:keepNext/>
      <w:keepLines/>
      <w:spacing w:before="260" w:after="260" w:line="410" w:lineRule="auto"/>
      <w:jc w:val="both"/>
    </w:pPr>
    <w:rPr>
      <w:rFonts w:ascii="Arial" w:hAnsi="Arial"/>
      <w:kern w:val="0"/>
      <w:sz w:val="24"/>
      <w:szCs w:val="32"/>
    </w:rPr>
  </w:style>
  <w:style w:type="character" w:customStyle="1" w:styleId="110">
    <w:name w:val="标题 3 Char1"/>
    <w:link w:val="111"/>
    <w:qFormat/>
    <w:uiPriority w:val="0"/>
    <w:rPr>
      <w:b/>
      <w:bCs/>
      <w:sz w:val="32"/>
      <w:szCs w:val="32"/>
    </w:rPr>
  </w:style>
  <w:style w:type="paragraph" w:customStyle="1" w:styleId="111">
    <w:name w:val="标题 3_0"/>
    <w:basedOn w:val="112"/>
    <w:next w:val="112"/>
    <w:link w:val="110"/>
    <w:qFormat/>
    <w:uiPriority w:val="0"/>
    <w:pPr>
      <w:spacing w:before="260" w:after="260" w:line="416" w:lineRule="auto"/>
      <w:outlineLvl w:val="2"/>
    </w:pPr>
    <w:rPr>
      <w:b/>
      <w:bCs/>
      <w:kern w:val="0"/>
      <w:sz w:val="32"/>
      <w:szCs w:val="32"/>
    </w:rPr>
  </w:style>
  <w:style w:type="paragraph" w:customStyle="1" w:styleId="112">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标题 Char_0"/>
    <w:link w:val="114"/>
    <w:qFormat/>
    <w:uiPriority w:val="0"/>
    <w:rPr>
      <w:rFonts w:ascii="Arial" w:hAnsi="Arial"/>
      <w:b/>
      <w:kern w:val="2"/>
      <w:sz w:val="32"/>
      <w:szCs w:val="22"/>
      <w:lang w:val="en-US" w:eastAsia="zh-CN"/>
    </w:rPr>
  </w:style>
  <w:style w:type="paragraph" w:customStyle="1" w:styleId="114">
    <w:name w:val="标题_0"/>
    <w:basedOn w:val="56"/>
    <w:link w:val="113"/>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15">
    <w:name w:val="标题 8 Char"/>
    <w:link w:val="10"/>
    <w:qFormat/>
    <w:uiPriority w:val="0"/>
    <w:rPr>
      <w:rFonts w:ascii="Arial" w:hAnsi="Arial" w:eastAsia="黑体"/>
      <w:sz w:val="24"/>
      <w:szCs w:val="24"/>
    </w:rPr>
  </w:style>
  <w:style w:type="character" w:customStyle="1" w:styleId="116">
    <w:name w:val="批注文字 Char Char"/>
    <w:qFormat/>
    <w:uiPriority w:val="0"/>
    <w:rPr>
      <w:rFonts w:hint="eastAsia" w:ascii="宋体" w:hAnsi="Times New Roman" w:eastAsia="宋体" w:cs="Times New Roman"/>
      <w:sz w:val="28"/>
      <w:szCs w:val="20"/>
    </w:rPr>
  </w:style>
  <w:style w:type="character" w:customStyle="1" w:styleId="117">
    <w:name w:val="引用 Char"/>
    <w:link w:val="118"/>
    <w:qFormat/>
    <w:uiPriority w:val="0"/>
    <w:rPr>
      <w:rFonts w:ascii="Calibri" w:hAnsi="Calibri"/>
      <w:i/>
      <w:iCs/>
      <w:color w:val="000000"/>
      <w:kern w:val="2"/>
      <w:sz w:val="21"/>
      <w:szCs w:val="22"/>
    </w:rPr>
  </w:style>
  <w:style w:type="paragraph" w:styleId="118">
    <w:name w:val="Quote"/>
    <w:basedOn w:val="1"/>
    <w:next w:val="1"/>
    <w:link w:val="117"/>
    <w:qFormat/>
    <w:uiPriority w:val="0"/>
    <w:rPr>
      <w:rFonts w:ascii="Calibri" w:hAnsi="Calibri"/>
      <w:i/>
      <w:iCs/>
      <w:color w:val="000000"/>
    </w:rPr>
  </w:style>
  <w:style w:type="character" w:customStyle="1" w:styleId="119">
    <w:name w:val="文档结构图 Char1"/>
    <w:qFormat/>
    <w:uiPriority w:val="0"/>
    <w:rPr>
      <w:rFonts w:hint="eastAsia" w:ascii="宋体" w:hAnsi="宋体" w:eastAsia="宋体"/>
      <w:kern w:val="2"/>
      <w:sz w:val="18"/>
      <w:szCs w:val="18"/>
    </w:rPr>
  </w:style>
  <w:style w:type="character" w:customStyle="1" w:styleId="120">
    <w:name w:val="正文文本 Char2"/>
    <w:semiHidden/>
    <w:qFormat/>
    <w:uiPriority w:val="99"/>
    <w:rPr>
      <w:kern w:val="2"/>
      <w:sz w:val="21"/>
      <w:szCs w:val="22"/>
    </w:rPr>
  </w:style>
  <w:style w:type="character" w:customStyle="1" w:styleId="121">
    <w:name w:val="页脚 Char1"/>
    <w:semiHidden/>
    <w:qFormat/>
    <w:uiPriority w:val="99"/>
    <w:rPr>
      <w:kern w:val="2"/>
      <w:sz w:val="18"/>
      <w:szCs w:val="18"/>
    </w:rPr>
  </w:style>
  <w:style w:type="character" w:customStyle="1" w:styleId="122">
    <w:name w:val="页脚 Char"/>
    <w:link w:val="28"/>
    <w:qFormat/>
    <w:uiPriority w:val="99"/>
    <w:rPr>
      <w:kern w:val="2"/>
      <w:sz w:val="18"/>
      <w:szCs w:val="18"/>
    </w:rPr>
  </w:style>
  <w:style w:type="character" w:customStyle="1" w:styleId="123">
    <w:name w:val="正文文本缩进 2 Char"/>
    <w:link w:val="26"/>
    <w:qFormat/>
    <w:uiPriority w:val="0"/>
    <w:rPr>
      <w:rFonts w:ascii="宋体" w:hAnsi="宋体"/>
      <w:sz w:val="21"/>
    </w:rPr>
  </w:style>
  <w:style w:type="character" w:customStyle="1" w:styleId="124">
    <w:name w:val="日期 Char"/>
    <w:link w:val="25"/>
    <w:qFormat/>
    <w:uiPriority w:val="0"/>
    <w:rPr>
      <w:rFonts w:ascii="宋体" w:hAnsi="宋体"/>
      <w:kern w:val="2"/>
      <w:sz w:val="21"/>
      <w:szCs w:val="24"/>
    </w:rPr>
  </w:style>
  <w:style w:type="character" w:customStyle="1" w:styleId="125">
    <w:name w:val="标题 2 Char_2"/>
    <w:link w:val="126"/>
    <w:uiPriority w:val="0"/>
    <w:rPr>
      <w:rFonts w:ascii="Calibri" w:hAnsi="Calibri"/>
      <w:b/>
      <w:bCs/>
      <w:kern w:val="2"/>
      <w:sz w:val="28"/>
      <w:szCs w:val="28"/>
      <w:lang w:val="en-US" w:eastAsia="zh-CN"/>
    </w:rPr>
  </w:style>
  <w:style w:type="paragraph" w:customStyle="1" w:styleId="126">
    <w:name w:val="标题 2_2"/>
    <w:basedOn w:val="127"/>
    <w:next w:val="127"/>
    <w:link w:val="125"/>
    <w:qFormat/>
    <w:uiPriority w:val="0"/>
    <w:pPr>
      <w:widowControl/>
      <w:spacing w:line="600" w:lineRule="exact"/>
      <w:contextualSpacing/>
      <w:jc w:val="center"/>
      <w:outlineLvl w:val="1"/>
    </w:pPr>
    <w:rPr>
      <w:rFonts w:ascii="Calibri" w:hAnsi="Calibri"/>
      <w:b/>
      <w:bCs/>
      <w:sz w:val="28"/>
      <w:szCs w:val="28"/>
    </w:rPr>
  </w:style>
  <w:style w:type="paragraph" w:customStyle="1" w:styleId="127">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8">
    <w:name w:val="副标题 Char1"/>
    <w:qFormat/>
    <w:uiPriority w:val="11"/>
    <w:rPr>
      <w:rFonts w:hint="default" w:ascii="Cambria" w:hAnsi="Cambria" w:cs="Times New Roman"/>
      <w:b/>
      <w:bCs/>
      <w:kern w:val="28"/>
      <w:sz w:val="32"/>
      <w:szCs w:val="32"/>
    </w:rPr>
  </w:style>
  <w:style w:type="character" w:customStyle="1" w:styleId="129">
    <w:name w:val="日期 Char1"/>
    <w:qFormat/>
    <w:uiPriority w:val="0"/>
    <w:rPr>
      <w:kern w:val="2"/>
      <w:sz w:val="21"/>
      <w:szCs w:val="22"/>
    </w:rPr>
  </w:style>
  <w:style w:type="character" w:customStyle="1" w:styleId="130">
    <w:name w:val="文档结构图 Char2"/>
    <w:semiHidden/>
    <w:qFormat/>
    <w:uiPriority w:val="99"/>
    <w:rPr>
      <w:rFonts w:hint="eastAsia" w:ascii="宋体" w:hAnsi="宋体" w:eastAsia="宋体"/>
      <w:kern w:val="2"/>
      <w:sz w:val="18"/>
      <w:szCs w:val="18"/>
    </w:rPr>
  </w:style>
  <w:style w:type="character" w:customStyle="1" w:styleId="131">
    <w:name w:val="正文文本缩进 Char"/>
    <w:link w:val="19"/>
    <w:qFormat/>
    <w:uiPriority w:val="0"/>
    <w:rPr>
      <w:rFonts w:ascii="宋体" w:hAnsi="宋体"/>
      <w:kern w:val="2"/>
      <w:sz w:val="21"/>
      <w:szCs w:val="24"/>
    </w:rPr>
  </w:style>
  <w:style w:type="character" w:customStyle="1" w:styleId="132">
    <w:name w:val="明显参考1"/>
    <w:qFormat/>
    <w:uiPriority w:val="0"/>
    <w:rPr>
      <w:b/>
      <w:bCs/>
      <w:smallCaps/>
      <w:color w:val="C0504D"/>
      <w:spacing w:val="5"/>
      <w:u w:val="single"/>
    </w:rPr>
  </w:style>
  <w:style w:type="character" w:customStyle="1" w:styleId="133">
    <w:name w:val="页眉 Char"/>
    <w:link w:val="29"/>
    <w:qFormat/>
    <w:uiPriority w:val="99"/>
    <w:rPr>
      <w:rFonts w:ascii="宋体" w:hAnsi="宋体"/>
      <w:kern w:val="2"/>
      <w:sz w:val="18"/>
      <w:szCs w:val="18"/>
    </w:rPr>
  </w:style>
  <w:style w:type="character" w:customStyle="1" w:styleId="134">
    <w:name w:val="font161"/>
    <w:qFormat/>
    <w:uiPriority w:val="0"/>
    <w:rPr>
      <w:b/>
      <w:bCs/>
      <w:sz w:val="32"/>
      <w:szCs w:val="32"/>
    </w:rPr>
  </w:style>
  <w:style w:type="character" w:customStyle="1" w:styleId="135">
    <w:name w:val="文档结构图 Char"/>
    <w:link w:val="16"/>
    <w:semiHidden/>
    <w:qFormat/>
    <w:uiPriority w:val="0"/>
    <w:rPr>
      <w:rFonts w:ascii="宋体" w:hAnsi="宋体"/>
      <w:kern w:val="2"/>
      <w:sz w:val="21"/>
      <w:szCs w:val="24"/>
      <w:shd w:val="clear" w:color="auto" w:fill="000080"/>
    </w:rPr>
  </w:style>
  <w:style w:type="character" w:customStyle="1" w:styleId="136">
    <w:name w:val="正文文本缩进 3 Char"/>
    <w:link w:val="34"/>
    <w:qFormat/>
    <w:uiPriority w:val="0"/>
    <w:rPr>
      <w:rFonts w:eastAsia="宋体"/>
      <w:kern w:val="2"/>
      <w:sz w:val="16"/>
      <w:szCs w:val="16"/>
      <w:lang w:val="en-US" w:eastAsia="zh-CN" w:bidi="ar-SA"/>
    </w:rPr>
  </w:style>
  <w:style w:type="character" w:customStyle="1" w:styleId="137">
    <w:name w:val="标题5 Char Char"/>
    <w:link w:val="138"/>
    <w:semiHidden/>
    <w:qFormat/>
    <w:locked/>
    <w:uiPriority w:val="0"/>
    <w:rPr>
      <w:rFonts w:ascii="Arial" w:hAnsi="Arial" w:cs="Arial"/>
      <w:b/>
      <w:bCs/>
      <w:sz w:val="24"/>
      <w:szCs w:val="32"/>
    </w:rPr>
  </w:style>
  <w:style w:type="paragraph" w:customStyle="1" w:styleId="138">
    <w:name w:val="标题5"/>
    <w:basedOn w:val="5"/>
    <w:link w:val="137"/>
    <w:semiHidden/>
    <w:qFormat/>
    <w:uiPriority w:val="0"/>
    <w:pPr>
      <w:spacing w:before="260" w:after="260" w:line="410" w:lineRule="auto"/>
      <w:jc w:val="both"/>
    </w:pPr>
    <w:rPr>
      <w:rFonts w:ascii="Arial" w:hAnsi="Arial"/>
      <w:kern w:val="0"/>
      <w:szCs w:val="32"/>
    </w:rPr>
  </w:style>
  <w:style w:type="character" w:customStyle="1" w:styleId="139">
    <w:name w:val="纯文本 Char1"/>
    <w:link w:val="23"/>
    <w:qFormat/>
    <w:uiPriority w:val="0"/>
    <w:rPr>
      <w:rFonts w:ascii="宋体" w:hAnsi="Courier New" w:eastAsia="宋体" w:cs="Courier New"/>
      <w:kern w:val="2"/>
      <w:sz w:val="21"/>
      <w:szCs w:val="21"/>
      <w:lang w:val="en-US" w:eastAsia="zh-CN" w:bidi="ar-SA"/>
    </w:rPr>
  </w:style>
  <w:style w:type="character" w:customStyle="1" w:styleId="140">
    <w:name w:val="标题 6 Char"/>
    <w:link w:val="8"/>
    <w:qFormat/>
    <w:uiPriority w:val="0"/>
    <w:rPr>
      <w:rFonts w:ascii="Arial" w:hAnsi="Arial" w:eastAsia="黑体"/>
      <w:b/>
      <w:bCs/>
      <w:sz w:val="24"/>
      <w:szCs w:val="24"/>
    </w:rPr>
  </w:style>
  <w:style w:type="character" w:customStyle="1" w:styleId="141">
    <w:name w:val="正文文本 Char4"/>
    <w:link w:val="142"/>
    <w:semiHidden/>
    <w:qFormat/>
    <w:uiPriority w:val="0"/>
  </w:style>
  <w:style w:type="paragraph" w:customStyle="1" w:styleId="142">
    <w:name w:val="正文文本_0"/>
    <w:basedOn w:val="112"/>
    <w:link w:val="141"/>
    <w:semiHidden/>
    <w:qFormat/>
    <w:uiPriority w:val="0"/>
    <w:pPr>
      <w:spacing w:after="120"/>
    </w:pPr>
    <w:rPr>
      <w:rFonts w:ascii="Calibri" w:hAnsi="Calibri"/>
    </w:rPr>
  </w:style>
  <w:style w:type="character" w:customStyle="1" w:styleId="143">
    <w:name w:val="标题 Char"/>
    <w:link w:val="39"/>
    <w:qFormat/>
    <w:uiPriority w:val="0"/>
    <w:rPr>
      <w:rFonts w:ascii="Arial" w:hAnsi="Arial"/>
      <w:b/>
      <w:sz w:val="32"/>
    </w:rPr>
  </w:style>
  <w:style w:type="character" w:customStyle="1" w:styleId="144">
    <w:name w:val="不明显强调1"/>
    <w:qFormat/>
    <w:uiPriority w:val="0"/>
    <w:rPr>
      <w:i/>
      <w:iCs/>
      <w:color w:val="808080"/>
    </w:rPr>
  </w:style>
  <w:style w:type="character" w:customStyle="1" w:styleId="145">
    <w:name w:val="正文文本 Char"/>
    <w:link w:val="2"/>
    <w:qFormat/>
    <w:uiPriority w:val="0"/>
    <w:rPr>
      <w:rFonts w:ascii="宋体" w:hAnsi="宋体"/>
      <w:kern w:val="2"/>
      <w:sz w:val="21"/>
      <w:szCs w:val="24"/>
    </w:rPr>
  </w:style>
  <w:style w:type="character" w:customStyle="1" w:styleId="146">
    <w:name w:val="unnamed11"/>
    <w:qFormat/>
    <w:uiPriority w:val="0"/>
  </w:style>
  <w:style w:type="paragraph" w:customStyle="1" w:styleId="147">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8">
    <w:name w:val="正文字缩2字"/>
    <w:basedOn w:val="1"/>
    <w:qFormat/>
    <w:uiPriority w:val="0"/>
    <w:pPr>
      <w:spacing w:before="60" w:after="60" w:line="360" w:lineRule="auto"/>
      <w:ind w:left="200" w:leftChars="200" w:firstLine="200" w:firstLineChars="200"/>
    </w:pPr>
    <w:rPr>
      <w:sz w:val="24"/>
      <w:szCs w:val="24"/>
    </w:rPr>
  </w:style>
  <w:style w:type="paragraph" w:customStyle="1" w:styleId="149">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50">
    <w:name w:val="列出段落1"/>
    <w:basedOn w:val="1"/>
    <w:qFormat/>
    <w:uiPriority w:val="0"/>
    <w:pPr>
      <w:ind w:firstLine="852" w:firstLineChars="303"/>
      <w:jc w:val="left"/>
    </w:pPr>
    <w:rPr>
      <w:rFonts w:ascii="Calibri" w:hAnsi="Calibri"/>
      <w:b/>
      <w:sz w:val="28"/>
      <w:szCs w:val="28"/>
    </w:rPr>
  </w:style>
  <w:style w:type="paragraph" w:customStyle="1" w:styleId="151">
    <w:name w:val="_Style 2"/>
    <w:basedOn w:val="3"/>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152">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54">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6">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条款节部分"/>
    <w:basedOn w:val="1"/>
    <w:qFormat/>
    <w:uiPriority w:val="0"/>
    <w:pPr>
      <w:numPr>
        <w:ilvl w:val="0"/>
        <w:numId w:val="2"/>
      </w:numPr>
    </w:pPr>
    <w:rPr>
      <w:rFonts w:eastAsia="仿宋_GB2312"/>
      <w:sz w:val="32"/>
      <w:szCs w:val="32"/>
    </w:rPr>
  </w:style>
  <w:style w:type="paragraph" w:customStyle="1" w:styleId="15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59">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1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1">
    <w:name w:val="默认段落字体 Para Char Char Char Char"/>
    <w:basedOn w:val="1"/>
    <w:qFormat/>
    <w:uiPriority w:val="0"/>
    <w:pPr>
      <w:spacing w:line="240" w:lineRule="atLeast"/>
      <w:ind w:left="420" w:firstLine="420"/>
    </w:pPr>
    <w:rPr>
      <w:rFonts w:ascii="Calibri" w:hAnsi="Calibri"/>
    </w:rPr>
  </w:style>
  <w:style w:type="paragraph" w:customStyle="1" w:styleId="1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16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5">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xl51"/>
    <w:basedOn w:val="1"/>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16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8">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69">
    <w:name w:val="p20"/>
    <w:basedOn w:val="84"/>
    <w:qFormat/>
    <w:uiPriority w:val="0"/>
    <w:pPr>
      <w:widowControl/>
    </w:pPr>
    <w:rPr>
      <w:rFonts w:ascii="宋体" w:hAnsi="宋体"/>
      <w:kern w:val="0"/>
      <w:szCs w:val="20"/>
    </w:rPr>
  </w:style>
  <w:style w:type="paragraph" w:customStyle="1" w:styleId="17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71">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2">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73">
    <w:name w:val="修订1"/>
    <w:semiHidden/>
    <w:uiPriority w:val="0"/>
    <w:rPr>
      <w:rFonts w:ascii="Times New Roman" w:hAnsi="Times New Roman" w:eastAsia="宋体" w:cs="Times New Roman"/>
      <w:kern w:val="2"/>
      <w:sz w:val="21"/>
      <w:szCs w:val="24"/>
      <w:lang w:val="en-US" w:eastAsia="zh-CN" w:bidi="ar-SA"/>
    </w:rPr>
  </w:style>
  <w:style w:type="paragraph" w:customStyle="1" w:styleId="174">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flNote"/>
    <w:basedOn w:val="1"/>
    <w:semiHidden/>
    <w:uiPriority w:val="0"/>
    <w:pPr>
      <w:adjustRightInd w:val="0"/>
      <w:spacing w:before="320" w:after="160" w:line="360" w:lineRule="atLeast"/>
      <w:jc w:val="center"/>
    </w:pPr>
    <w:rPr>
      <w:rFonts w:ascii="Arial" w:eastAsia="黑体"/>
      <w:kern w:val="0"/>
      <w:sz w:val="30"/>
      <w:szCs w:val="20"/>
    </w:rPr>
  </w:style>
  <w:style w:type="paragraph" w:customStyle="1" w:styleId="176">
    <w:name w:val="正文1"/>
    <w:uiPriority w:val="0"/>
    <w:pPr>
      <w:jc w:val="both"/>
    </w:pPr>
    <w:rPr>
      <w:rFonts w:ascii="Times New Roman" w:hAnsi="Times New Roman" w:eastAsia="宋体" w:cs="Times New Roman"/>
      <w:kern w:val="2"/>
      <w:sz w:val="21"/>
      <w:szCs w:val="21"/>
      <w:lang w:val="en-US" w:eastAsia="zh-CN" w:bidi="ar-SA"/>
    </w:rPr>
  </w:style>
  <w:style w:type="paragraph" w:customStyle="1" w:styleId="17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8">
    <w:name w:val="表格"/>
    <w:basedOn w:val="1"/>
    <w:qFormat/>
    <w:uiPriority w:val="0"/>
    <w:pPr>
      <w:jc w:val="center"/>
      <w:textAlignment w:val="center"/>
    </w:pPr>
    <w:rPr>
      <w:rFonts w:ascii="华文细黑" w:hAnsi="华文细黑"/>
      <w:kern w:val="0"/>
      <w:szCs w:val="20"/>
    </w:rPr>
  </w:style>
  <w:style w:type="paragraph" w:customStyle="1" w:styleId="179">
    <w:name w:val="1"/>
    <w:basedOn w:val="1"/>
    <w:next w:val="1"/>
    <w:qFormat/>
    <w:uiPriority w:val="0"/>
  </w:style>
  <w:style w:type="paragraph" w:customStyle="1" w:styleId="18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2">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1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5">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Cs w:val="20"/>
    </w:rPr>
  </w:style>
  <w:style w:type="paragraph" w:styleId="186">
    <w:name w:val="List Paragraph"/>
    <w:basedOn w:val="1"/>
    <w:qFormat/>
    <w:uiPriority w:val="34"/>
    <w:pPr>
      <w:ind w:firstLine="420" w:firstLineChars="200"/>
    </w:pPr>
    <w:rPr>
      <w:rFonts w:ascii="Calibri" w:hAnsi="Calibri"/>
    </w:rPr>
  </w:style>
  <w:style w:type="paragraph" w:customStyle="1" w:styleId="187">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18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8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91">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192">
    <w:name w:val="普通(网站)_0"/>
    <w:basedOn w:val="64"/>
    <w:qFormat/>
    <w:uiPriority w:val="99"/>
    <w:pPr>
      <w:widowControl/>
      <w:spacing w:before="100" w:beforeAutospacing="1" w:after="100" w:afterAutospacing="1"/>
      <w:jc w:val="left"/>
    </w:pPr>
    <w:rPr>
      <w:rFonts w:hint="eastAsia" w:ascii="宋体" w:hAnsi="宋体"/>
      <w:kern w:val="0"/>
      <w:sz w:val="24"/>
      <w:szCs w:val="22"/>
    </w:rPr>
  </w:style>
  <w:style w:type="paragraph" w:customStyle="1" w:styleId="193">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94">
    <w:name w:val="表格文字"/>
    <w:basedOn w:val="1"/>
    <w:qFormat/>
    <w:uiPriority w:val="0"/>
    <w:pPr>
      <w:adjustRightInd w:val="0"/>
      <w:spacing w:line="420" w:lineRule="atLeast"/>
      <w:jc w:val="left"/>
      <w:textAlignment w:val="baseline"/>
    </w:pPr>
    <w:rPr>
      <w:kern w:val="0"/>
      <w:szCs w:val="20"/>
    </w:rPr>
  </w:style>
  <w:style w:type="paragraph" w:customStyle="1" w:styleId="195">
    <w:name w:val="空半行"/>
    <w:basedOn w:val="1"/>
    <w:semiHidden/>
    <w:qFormat/>
    <w:uiPriority w:val="0"/>
    <w:pPr>
      <w:adjustRightInd w:val="0"/>
      <w:spacing w:line="120" w:lineRule="exact"/>
    </w:pPr>
    <w:rPr>
      <w:rFonts w:eastAsia="仿宋_GB2312"/>
      <w:color w:val="FFFFFF"/>
      <w:kern w:val="0"/>
      <w:sz w:val="30"/>
      <w:szCs w:val="20"/>
    </w:rPr>
  </w:style>
  <w:style w:type="paragraph" w:customStyle="1" w:styleId="19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7">
    <w:name w:val="CM48"/>
    <w:basedOn w:val="196"/>
    <w:next w:val="196"/>
    <w:qFormat/>
    <w:uiPriority w:val="0"/>
    <w:pPr>
      <w:spacing w:line="453" w:lineRule="atLeast"/>
    </w:pPr>
    <w:rPr>
      <w:rFonts w:ascii="仿宋_GB2312" w:eastAsia="仿宋_GB2312" w:cs="Times New Roman"/>
      <w:color w:val="auto"/>
    </w:rPr>
  </w:style>
  <w:style w:type="paragraph" w:customStyle="1" w:styleId="198">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19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0">
    <w:name w:val="font8"/>
    <w:basedOn w:val="1"/>
    <w:qFormat/>
    <w:uiPriority w:val="0"/>
    <w:pPr>
      <w:widowControl/>
      <w:spacing w:before="100" w:beforeAutospacing="1" w:after="100" w:afterAutospacing="1"/>
      <w:jc w:val="left"/>
    </w:pPr>
    <w:rPr>
      <w:kern w:val="0"/>
      <w:sz w:val="20"/>
      <w:szCs w:val="20"/>
    </w:rPr>
  </w:style>
  <w:style w:type="paragraph" w:customStyle="1" w:styleId="2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2">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04">
    <w:name w:val="z-窗体底端1"/>
    <w:basedOn w:val="1"/>
    <w:next w:val="1"/>
    <w:qFormat/>
    <w:uiPriority w:val="0"/>
    <w:pPr>
      <w:pBdr>
        <w:top w:val="single" w:color="auto" w:sz="6" w:space="1"/>
      </w:pBdr>
      <w:jc w:val="center"/>
    </w:pPr>
    <w:rPr>
      <w:rFonts w:ascii="Arial"/>
      <w:vanish/>
      <w:sz w:val="16"/>
    </w:rPr>
  </w:style>
  <w:style w:type="paragraph" w:customStyle="1" w:styleId="205">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6">
    <w:name w:val="CM65"/>
    <w:basedOn w:val="196"/>
    <w:next w:val="196"/>
    <w:qFormat/>
    <w:uiPriority w:val="0"/>
    <w:pPr>
      <w:spacing w:after="228"/>
    </w:pPr>
    <w:rPr>
      <w:rFonts w:ascii="仿宋_GB2312" w:eastAsia="仿宋_GB2312" w:cs="Times New Roman"/>
      <w:color w:val="auto"/>
    </w:rPr>
  </w:style>
  <w:style w:type="paragraph" w:customStyle="1" w:styleId="207">
    <w:name w:val="WPSOffice手动目录 1"/>
    <w:qFormat/>
    <w:uiPriority w:val="0"/>
    <w:rPr>
      <w:rFonts w:ascii="Times New Roman" w:hAnsi="Times New Roman" w:eastAsia="宋体" w:cs="Times New Roman"/>
      <w:lang w:val="en-US" w:eastAsia="zh-CN" w:bidi="ar-SA"/>
    </w:rPr>
  </w:style>
  <w:style w:type="paragraph" w:customStyle="1" w:styleId="20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09">
    <w:name w:val="样式 标题 1 + 黑体 三号 非加粗 居中 段前: 6 磅 段后: 6 磅 行距: 固定值 20 磅"/>
    <w:basedOn w:val="3"/>
    <w:qFormat/>
    <w:uiPriority w:val="0"/>
    <w:pPr>
      <w:spacing w:before="120" w:line="400" w:lineRule="exact"/>
    </w:pPr>
    <w:rPr>
      <w:rFonts w:ascii="黑体" w:hAnsi="黑体" w:eastAsia="黑体" w:cs="宋体"/>
      <w:b w:val="0"/>
      <w:bCs/>
      <w:sz w:val="32"/>
      <w:szCs w:val="20"/>
    </w:rPr>
  </w:style>
  <w:style w:type="paragraph" w:customStyle="1" w:styleId="21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1">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2">
    <w:name w:val="TOC 标题1"/>
    <w:basedOn w:val="3"/>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3">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14">
    <w:name w:val="标题 4_1_0"/>
    <w:basedOn w:val="105"/>
    <w:next w:val="105"/>
    <w:qFormat/>
    <w:uiPriority w:val="9"/>
    <w:pPr>
      <w:keepNext/>
      <w:keepLines/>
      <w:spacing w:before="280" w:after="290" w:line="376" w:lineRule="auto"/>
      <w:outlineLvl w:val="3"/>
    </w:pPr>
    <w:rPr>
      <w:rFonts w:ascii="Arial" w:hAnsi="Arial" w:eastAsia="黑体"/>
      <w:b/>
      <w:bCs/>
      <w:kern w:val="2"/>
      <w:sz w:val="28"/>
      <w:szCs w:val="28"/>
    </w:rPr>
  </w:style>
  <w:style w:type="paragraph" w:customStyle="1" w:styleId="215">
    <w:name w:val="正文缩进_0"/>
    <w:basedOn w:val="112"/>
    <w:link w:val="240"/>
    <w:unhideWhenUsed/>
    <w:qFormat/>
    <w:uiPriority w:val="0"/>
    <w:pPr>
      <w:ind w:firstLine="420" w:firstLineChars="200"/>
    </w:pPr>
  </w:style>
  <w:style w:type="paragraph" w:customStyle="1" w:styleId="2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1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8">
    <w:name w:val="CM69"/>
    <w:basedOn w:val="196"/>
    <w:next w:val="196"/>
    <w:qFormat/>
    <w:uiPriority w:val="0"/>
    <w:pPr>
      <w:spacing w:after="953"/>
    </w:pPr>
    <w:rPr>
      <w:rFonts w:ascii="仿宋_GB2312" w:eastAsia="仿宋_GB2312" w:cs="Times New Roman"/>
      <w:color w:val="auto"/>
    </w:rPr>
  </w:style>
  <w:style w:type="paragraph" w:customStyle="1" w:styleId="219">
    <w:name w:val="CM57"/>
    <w:basedOn w:val="196"/>
    <w:next w:val="196"/>
    <w:qFormat/>
    <w:uiPriority w:val="0"/>
    <w:pPr>
      <w:spacing w:after="590"/>
    </w:pPr>
    <w:rPr>
      <w:rFonts w:ascii="仿宋_GB2312" w:eastAsia="仿宋_GB2312" w:cs="Times New Roman"/>
      <w:color w:val="auto"/>
    </w:rPr>
  </w:style>
  <w:style w:type="paragraph" w:customStyle="1" w:styleId="220">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1">
    <w:name w:val="Char1"/>
    <w:basedOn w:val="41"/>
    <w:qFormat/>
    <w:uiPriority w:val="0"/>
    <w:pPr>
      <w:spacing w:after="0" w:line="360" w:lineRule="auto"/>
      <w:ind w:firstLine="200" w:firstLineChars="200"/>
    </w:pPr>
    <w:rPr>
      <w:rFonts w:ascii="Tahoma" w:hAnsi="Tahoma"/>
      <w:sz w:val="36"/>
      <w:szCs w:val="36"/>
    </w:rPr>
  </w:style>
  <w:style w:type="paragraph" w:customStyle="1" w:styleId="222">
    <w:name w:val="Char11"/>
    <w:basedOn w:val="41"/>
    <w:qFormat/>
    <w:uiPriority w:val="0"/>
    <w:pPr>
      <w:spacing w:after="0" w:line="360" w:lineRule="auto"/>
      <w:ind w:firstLine="200" w:firstLineChars="200"/>
    </w:pPr>
    <w:rPr>
      <w:rFonts w:ascii="Tahoma" w:hAnsi="Tahoma"/>
      <w:sz w:val="36"/>
      <w:szCs w:val="36"/>
    </w:rPr>
  </w:style>
  <w:style w:type="paragraph" w:customStyle="1" w:styleId="22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24">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5">
    <w:name w:val="CM36"/>
    <w:basedOn w:val="196"/>
    <w:next w:val="196"/>
    <w:qFormat/>
    <w:uiPriority w:val="0"/>
    <w:pPr>
      <w:spacing w:line="473" w:lineRule="atLeast"/>
    </w:pPr>
    <w:rPr>
      <w:rFonts w:ascii="仿宋_GB2312" w:eastAsia="仿宋_GB2312" w:cs="Times New Roman"/>
      <w:color w:val="auto"/>
    </w:rPr>
  </w:style>
  <w:style w:type="paragraph" w:customStyle="1" w:styleId="226">
    <w:name w:val="样式 标题 3 + (中文) 黑体 小四 非加粗 段前: 7.8 磅 段后: 0 磅 行距: 固定值 20 磅"/>
    <w:basedOn w:val="5"/>
    <w:qFormat/>
    <w:uiPriority w:val="0"/>
    <w:pPr>
      <w:spacing w:after="0" w:line="400" w:lineRule="exact"/>
    </w:pPr>
    <w:rPr>
      <w:rFonts w:eastAsia="黑体" w:cs="宋体"/>
      <w:b w:val="0"/>
      <w:bCs w:val="0"/>
      <w:szCs w:val="20"/>
    </w:rPr>
  </w:style>
  <w:style w:type="paragraph" w:customStyle="1" w:styleId="227">
    <w:name w:val="Char"/>
    <w:basedOn w:val="1"/>
    <w:qFormat/>
    <w:uiPriority w:val="0"/>
  </w:style>
  <w:style w:type="paragraph" w:customStyle="1" w:styleId="2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9">
    <w:name w:val="表标题"/>
    <w:basedOn w:val="1"/>
    <w:qFormat/>
    <w:uiPriority w:val="0"/>
    <w:pPr>
      <w:spacing w:line="305" w:lineRule="auto"/>
      <w:ind w:firstLine="50" w:firstLineChars="50"/>
    </w:pPr>
    <w:rPr>
      <w:rFonts w:ascii="黑体" w:hAnsi="宋体" w:eastAsia="黑体"/>
      <w:kern w:val="44"/>
      <w:sz w:val="24"/>
    </w:rPr>
  </w:style>
  <w:style w:type="paragraph" w:customStyle="1" w:styleId="230">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2">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33">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4">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35">
    <w:name w:val="_Style 10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z-窗体顶端1"/>
    <w:basedOn w:val="1"/>
    <w:next w:val="1"/>
    <w:qFormat/>
    <w:uiPriority w:val="0"/>
    <w:pPr>
      <w:pBdr>
        <w:bottom w:val="single" w:color="auto" w:sz="6" w:space="1"/>
      </w:pBdr>
      <w:jc w:val="center"/>
    </w:pPr>
    <w:rPr>
      <w:rFonts w:ascii="Arial"/>
      <w:vanish/>
      <w:sz w:val="16"/>
    </w:rPr>
  </w:style>
  <w:style w:type="paragraph" w:customStyle="1" w:styleId="237">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8">
    <w:name w:val="标题 2 Char_4"/>
    <w:link w:val="239"/>
    <w:qFormat/>
    <w:uiPriority w:val="0"/>
    <w:rPr>
      <w:rFonts w:ascii="Calibri" w:hAnsi="Calibri"/>
      <w:b/>
      <w:bCs/>
      <w:sz w:val="28"/>
      <w:szCs w:val="28"/>
    </w:rPr>
  </w:style>
  <w:style w:type="paragraph" w:customStyle="1" w:styleId="239">
    <w:name w:val="标题 2_4"/>
    <w:basedOn w:val="127"/>
    <w:next w:val="127"/>
    <w:link w:val="238"/>
    <w:qFormat/>
    <w:uiPriority w:val="0"/>
    <w:pPr>
      <w:widowControl/>
      <w:spacing w:line="600" w:lineRule="exact"/>
      <w:contextualSpacing/>
      <w:jc w:val="center"/>
      <w:outlineLvl w:val="1"/>
    </w:pPr>
    <w:rPr>
      <w:rFonts w:ascii="Calibri" w:hAnsi="Calibri"/>
      <w:b/>
      <w:bCs/>
      <w:kern w:val="0"/>
      <w:sz w:val="28"/>
      <w:szCs w:val="28"/>
    </w:rPr>
  </w:style>
  <w:style w:type="character" w:customStyle="1" w:styleId="240">
    <w:name w:val="正文缩进 Char1_0"/>
    <w:link w:val="215"/>
    <w:qFormat/>
    <w:locked/>
    <w:uiPriority w:val="0"/>
    <w:rPr>
      <w:kern w:val="2"/>
      <w:sz w:val="21"/>
      <w:szCs w:val="21"/>
    </w:rPr>
  </w:style>
  <w:style w:type="character" w:customStyle="1" w:styleId="241">
    <w:name w:val="纯文本 Char_0"/>
    <w:link w:val="242"/>
    <w:qFormat/>
    <w:uiPriority w:val="0"/>
    <w:rPr>
      <w:rFonts w:ascii="宋体" w:hAnsi="Courier New"/>
      <w:kern w:val="2"/>
      <w:sz w:val="21"/>
      <w:szCs w:val="21"/>
    </w:rPr>
  </w:style>
  <w:style w:type="paragraph" w:customStyle="1" w:styleId="242">
    <w:name w:val="纯文本_0"/>
    <w:basedOn w:val="180"/>
    <w:link w:val="241"/>
    <w:unhideWhenUsed/>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69D84-72E0-463A-8E9B-B890126B5F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5128</Words>
  <Characters>29231</Characters>
  <Lines>243</Lines>
  <Paragraphs>68</Paragraphs>
  <TotalTime>1</TotalTime>
  <ScaleCrop>false</ScaleCrop>
  <LinksUpToDate>false</LinksUpToDate>
  <CharactersWithSpaces>34291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2020-05-20T01:08:00Z</dcterms:created>
  <dc:creator>微软用户</dc:creator>
  <cp:lastModifiedBy>NTKO</cp:lastModifiedBy>
  <cp:lastPrinted>2020-06-29T01:14:00Z</cp:lastPrinted>
  <dcterms:modified xsi:type="dcterms:W3CDTF">2021-06-22T01:28:26Z</dcterms:modified>
  <dc:title>住房和城乡建设部关于印发《房屋建筑和市政工程标准施工招标资格预审文件》和《房屋建筑和市政工程标准施工招标文件》的通知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864E9A367B0D45FCAE8CD68E9887ACD7</vt:lpwstr>
  </property>
</Properties>
</file>